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EF42E">
      <w:pPr>
        <w:pStyle w:val="119"/>
        <w:spacing w:after="0" w:line="560" w:lineRule="exact"/>
        <w:rPr>
          <w:b w:val="0"/>
          <w:bCs/>
          <w:i/>
          <w:color w:val="FF0000"/>
          <w:lang w:eastAsia="zh-CN"/>
        </w:rPr>
      </w:pPr>
      <w:r>
        <w:rPr>
          <w:rFonts w:eastAsia="楷体_GB2312"/>
          <w:i/>
          <w:color w:val="FF0000"/>
          <w:lang w:eastAsia="zh-CN"/>
        </w:rPr>
        <w:t>【注：本合同版本根据人民银行、金融监管总局资产证券化相关规定以及交易商协会相关自律规则起草，作为不良贷款资产支持证券的标准范本供市场机构参考</w:t>
      </w:r>
      <w:r>
        <w:rPr>
          <w:i/>
          <w:color w:val="FF0000"/>
          <w:vertAlign w:val="superscript"/>
          <w:lang w:eastAsia="zh-CN"/>
        </w:rPr>
        <w:footnoteReference w:id="0"/>
      </w:r>
      <w:r>
        <w:rPr>
          <w:rFonts w:eastAsia="楷体_GB2312"/>
          <w:i/>
          <w:color w:val="FF0000"/>
          <w:lang w:eastAsia="zh-CN"/>
        </w:rPr>
        <w:t>。开展不良贷款资产支持证券的贷款资产应符合相关监管要求及交易商协会相关自律规则。】</w:t>
      </w:r>
    </w:p>
    <w:p w14:paraId="1F5A5571">
      <w:pPr>
        <w:pStyle w:val="119"/>
        <w:spacing w:after="0" w:line="560" w:lineRule="exact"/>
        <w:jc w:val="right"/>
        <w:rPr>
          <w:rFonts w:eastAsia="楷体_GB2312"/>
          <w:i/>
          <w:color w:val="FF0000"/>
          <w:lang w:eastAsia="zh-CN"/>
        </w:rPr>
      </w:pPr>
      <w:r>
        <w:rPr>
          <w:rFonts w:eastAsia="楷体_GB2312"/>
          <w:color w:val="000000" w:themeColor="text1"/>
          <w:lang w:eastAsia="zh-CN"/>
          <w14:textFill>
            <w14:solidFill>
              <w14:schemeClr w14:val="tx1"/>
            </w14:solidFill>
          </w14:textFill>
        </w:rPr>
        <w:t>合同编号：</w:t>
      </w:r>
      <w:r>
        <w:rPr>
          <w:rFonts w:eastAsia="楷体_GB2312"/>
          <w:bCs/>
          <w:color w:val="000000" w:themeColor="text1"/>
          <w:lang w:eastAsia="zh-CN"/>
          <w14:textFill>
            <w14:solidFill>
              <w14:schemeClr w14:val="tx1"/>
            </w14:solidFill>
          </w14:textFill>
        </w:rPr>
        <w:t>【</w:t>
      </w:r>
      <w:r>
        <w:rPr>
          <w:rFonts w:eastAsia="楷体_GB2312"/>
          <w:color w:val="000000"/>
          <w:lang w:eastAsia="zh-CN"/>
        </w:rPr>
        <w:t>信托合同编号</w:t>
      </w:r>
      <w:r>
        <w:rPr>
          <w:rFonts w:eastAsia="楷体_GB2312"/>
          <w:bCs/>
          <w:color w:val="000000" w:themeColor="text1"/>
          <w:lang w:eastAsia="zh-CN"/>
          <w14:textFill>
            <w14:solidFill>
              <w14:schemeClr w14:val="tx1"/>
            </w14:solidFill>
          </w14:textFill>
        </w:rPr>
        <w:t>】</w:t>
      </w:r>
    </w:p>
    <w:p w14:paraId="678C8386">
      <w:pPr>
        <w:tabs>
          <w:tab w:val="left" w:pos="4820"/>
        </w:tabs>
        <w:spacing w:line="560" w:lineRule="exact"/>
        <w:jc w:val="right"/>
        <w:rPr>
          <w:rFonts w:eastAsia="楷体_GB2312"/>
          <w:b/>
          <w:color w:val="000000"/>
          <w:sz w:val="24"/>
        </w:rPr>
      </w:pPr>
      <w:r>
        <w:rPr>
          <w:rFonts w:eastAsia="楷体_GB2312"/>
          <w:b/>
          <w:color w:val="000000"/>
          <w:sz w:val="24"/>
        </w:rPr>
        <w:t>信托产品登记编码：【】</w:t>
      </w:r>
    </w:p>
    <w:p w14:paraId="149EA3B8">
      <w:pPr>
        <w:spacing w:line="560" w:lineRule="exact"/>
        <w:jc w:val="center"/>
        <w:rPr>
          <w:rFonts w:eastAsia="楷体_GB2312"/>
          <w:b/>
          <w:color w:val="000000"/>
          <w:sz w:val="32"/>
          <w:szCs w:val="32"/>
        </w:rPr>
      </w:pPr>
    </w:p>
    <w:p w14:paraId="24FB7CDF">
      <w:pPr>
        <w:spacing w:line="560" w:lineRule="exact"/>
        <w:jc w:val="center"/>
        <w:rPr>
          <w:rFonts w:eastAsia="楷体_GB2312"/>
          <w:b/>
          <w:color w:val="000000"/>
          <w:sz w:val="32"/>
          <w:szCs w:val="32"/>
        </w:rPr>
      </w:pPr>
    </w:p>
    <w:p w14:paraId="5EF2453C">
      <w:pPr>
        <w:spacing w:line="560" w:lineRule="exact"/>
        <w:jc w:val="center"/>
        <w:rPr>
          <w:rFonts w:eastAsia="楷体_GB2312"/>
          <w:b/>
          <w:color w:val="000000"/>
          <w:sz w:val="36"/>
          <w:szCs w:val="36"/>
        </w:rPr>
      </w:pPr>
      <w:r>
        <w:rPr>
          <w:rFonts w:eastAsia="楷体_GB2312"/>
          <w:b/>
          <w:color w:val="000000"/>
          <w:sz w:val="36"/>
          <w:szCs w:val="36"/>
        </w:rPr>
        <w:t>【发起机构全称】</w:t>
      </w:r>
    </w:p>
    <w:p w14:paraId="0F5700EA">
      <w:pPr>
        <w:tabs>
          <w:tab w:val="left" w:pos="426"/>
          <w:tab w:val="left" w:pos="851"/>
        </w:tabs>
        <w:spacing w:line="560" w:lineRule="exact"/>
        <w:jc w:val="center"/>
        <w:rPr>
          <w:rFonts w:eastAsia="楷体_GB2312"/>
          <w:b/>
          <w:color w:val="000000"/>
          <w:sz w:val="24"/>
        </w:rPr>
      </w:pPr>
      <w:r>
        <w:rPr>
          <w:rFonts w:eastAsia="楷体_GB2312"/>
          <w:b/>
          <w:color w:val="000000"/>
          <w:sz w:val="24"/>
        </w:rPr>
        <w:t>（作为委托人和发起机构）</w:t>
      </w:r>
    </w:p>
    <w:p w14:paraId="17CADCFD">
      <w:pPr>
        <w:spacing w:line="560" w:lineRule="exact"/>
        <w:jc w:val="center"/>
        <w:rPr>
          <w:rFonts w:eastAsia="楷体_GB2312"/>
          <w:b/>
          <w:color w:val="000000"/>
          <w:sz w:val="28"/>
          <w:szCs w:val="28"/>
        </w:rPr>
      </w:pPr>
    </w:p>
    <w:p w14:paraId="5C8C906E">
      <w:pPr>
        <w:spacing w:line="560" w:lineRule="exact"/>
        <w:jc w:val="center"/>
        <w:rPr>
          <w:rFonts w:eastAsia="楷体_GB2312"/>
          <w:b/>
          <w:color w:val="000000"/>
          <w:sz w:val="36"/>
          <w:szCs w:val="36"/>
        </w:rPr>
      </w:pPr>
      <w:r>
        <w:rPr>
          <w:rFonts w:eastAsia="楷体_GB2312"/>
          <w:b/>
          <w:color w:val="000000"/>
          <w:sz w:val="36"/>
          <w:szCs w:val="36"/>
        </w:rPr>
        <w:t>与</w:t>
      </w:r>
    </w:p>
    <w:p w14:paraId="178DA07C">
      <w:pPr>
        <w:spacing w:line="560" w:lineRule="exact"/>
        <w:jc w:val="center"/>
        <w:rPr>
          <w:rFonts w:eastAsia="楷体_GB2312"/>
          <w:b/>
          <w:color w:val="000000"/>
          <w:sz w:val="28"/>
          <w:szCs w:val="28"/>
        </w:rPr>
      </w:pPr>
    </w:p>
    <w:p w14:paraId="2F526454">
      <w:pPr>
        <w:spacing w:line="560" w:lineRule="exact"/>
        <w:jc w:val="center"/>
        <w:rPr>
          <w:rFonts w:eastAsia="楷体_GB2312"/>
          <w:b/>
          <w:color w:val="000000"/>
          <w:sz w:val="36"/>
          <w:szCs w:val="36"/>
        </w:rPr>
      </w:pPr>
      <w:r>
        <w:rPr>
          <w:rFonts w:eastAsia="楷体_GB2312"/>
          <w:b/>
          <w:color w:val="000000"/>
          <w:sz w:val="36"/>
          <w:szCs w:val="36"/>
        </w:rPr>
        <w:t>【受托机构全称】</w:t>
      </w:r>
    </w:p>
    <w:p w14:paraId="06DFB599">
      <w:pPr>
        <w:spacing w:line="560" w:lineRule="exact"/>
        <w:jc w:val="center"/>
        <w:rPr>
          <w:rFonts w:eastAsia="楷体_GB2312"/>
          <w:b/>
          <w:color w:val="000000"/>
          <w:sz w:val="24"/>
        </w:rPr>
      </w:pPr>
      <w:r>
        <w:rPr>
          <w:rFonts w:eastAsia="楷体_GB2312"/>
          <w:b/>
          <w:color w:val="000000"/>
          <w:sz w:val="24"/>
        </w:rPr>
        <w:t>（作为受托人、受托机构和发行人）</w:t>
      </w:r>
    </w:p>
    <w:p w14:paraId="4F466235">
      <w:pPr>
        <w:spacing w:line="560" w:lineRule="exact"/>
        <w:jc w:val="center"/>
        <w:rPr>
          <w:rFonts w:eastAsia="楷体_GB2312"/>
          <w:b/>
          <w:color w:val="000000"/>
          <w:szCs w:val="21"/>
        </w:rPr>
      </w:pPr>
    </w:p>
    <w:p w14:paraId="5A326ADC">
      <w:pPr>
        <w:spacing w:line="560" w:lineRule="exact"/>
        <w:jc w:val="center"/>
        <w:rPr>
          <w:rFonts w:eastAsia="楷体_GB2312"/>
          <w:b/>
          <w:color w:val="000000"/>
          <w:szCs w:val="21"/>
        </w:rPr>
      </w:pPr>
    </w:p>
    <w:p w14:paraId="5B3A716E">
      <w:pPr>
        <w:spacing w:line="560" w:lineRule="exact"/>
        <w:jc w:val="center"/>
        <w:rPr>
          <w:rFonts w:eastAsia="楷体_GB2312"/>
          <w:b/>
          <w:color w:val="000000"/>
          <w:sz w:val="36"/>
          <w:szCs w:val="36"/>
        </w:rPr>
      </w:pPr>
      <w:r>
        <w:rPr>
          <w:rFonts w:eastAsia="楷体_GB2312"/>
          <w:b/>
          <w:color w:val="000000"/>
          <w:sz w:val="36"/>
          <w:szCs w:val="36"/>
        </w:rPr>
        <w:t>【信托名称】</w:t>
      </w:r>
    </w:p>
    <w:p w14:paraId="6C1E7E4C">
      <w:pPr>
        <w:spacing w:line="560" w:lineRule="exact"/>
        <w:jc w:val="center"/>
        <w:rPr>
          <w:rFonts w:eastAsia="楷体_GB2312"/>
          <w:b/>
          <w:color w:val="000000"/>
          <w:sz w:val="36"/>
          <w:szCs w:val="36"/>
        </w:rPr>
      </w:pPr>
      <w:r>
        <w:rPr>
          <w:rFonts w:hint="eastAsia" w:eastAsia="楷体_GB2312"/>
          <w:b/>
          <w:color w:val="000000"/>
          <w:sz w:val="36"/>
          <w:szCs w:val="36"/>
        </w:rPr>
        <w:t>之</w:t>
      </w:r>
    </w:p>
    <w:p w14:paraId="68E014AE">
      <w:pPr>
        <w:spacing w:line="560" w:lineRule="exact"/>
        <w:jc w:val="center"/>
        <w:rPr>
          <w:rFonts w:eastAsia="楷体_GB2312"/>
          <w:b/>
          <w:color w:val="000000"/>
          <w:sz w:val="36"/>
          <w:szCs w:val="36"/>
        </w:rPr>
      </w:pPr>
      <w:r>
        <w:rPr>
          <w:rFonts w:eastAsia="楷体_GB2312"/>
          <w:b/>
          <w:color w:val="000000"/>
          <w:sz w:val="36"/>
          <w:szCs w:val="36"/>
        </w:rPr>
        <w:t>信托合同</w:t>
      </w:r>
    </w:p>
    <w:p w14:paraId="778646C7">
      <w:pPr>
        <w:spacing w:line="560" w:lineRule="exact"/>
        <w:jc w:val="center"/>
        <w:rPr>
          <w:rFonts w:eastAsia="楷体_GB2312"/>
          <w:color w:val="000000"/>
          <w:sz w:val="28"/>
        </w:rPr>
      </w:pPr>
    </w:p>
    <w:p w14:paraId="75562BE3">
      <w:pPr>
        <w:spacing w:line="560" w:lineRule="exact"/>
        <w:jc w:val="center"/>
        <w:rPr>
          <w:rFonts w:eastAsia="楷体_GB2312"/>
          <w:b/>
          <w:color w:val="000000"/>
          <w:sz w:val="30"/>
          <w:szCs w:val="30"/>
        </w:rPr>
      </w:pPr>
      <w:r>
        <w:rPr>
          <w:rFonts w:eastAsia="楷体_GB2312"/>
          <w:b/>
          <w:color w:val="000000"/>
          <w:sz w:val="30"/>
          <w:szCs w:val="30"/>
        </w:rPr>
        <w:t>中国</w:t>
      </w:r>
      <w:r>
        <w:rPr>
          <w:rFonts w:eastAsia="楷体_GB2312"/>
          <w:b/>
          <w:color w:val="000000"/>
          <w:sz w:val="30"/>
          <w:szCs w:val="30"/>
        </w:rPr>
        <w:tab/>
      </w:r>
      <w:r>
        <w:rPr>
          <w:rFonts w:eastAsia="楷体_GB2312"/>
          <w:b/>
          <w:bCs/>
          <w:color w:val="000000"/>
          <w:sz w:val="28"/>
          <w:szCs w:val="28"/>
        </w:rPr>
        <w:t>【  】</w:t>
      </w:r>
    </w:p>
    <w:p w14:paraId="05DE9D61">
      <w:pPr>
        <w:spacing w:line="560" w:lineRule="exact"/>
        <w:jc w:val="center"/>
        <w:rPr>
          <w:rFonts w:eastAsia="楷体_GB2312"/>
          <w:color w:val="000000"/>
          <w:sz w:val="24"/>
        </w:rPr>
      </w:pPr>
      <w:r>
        <w:rPr>
          <w:rFonts w:eastAsia="楷体_GB2312"/>
          <w:b/>
          <w:bCs/>
          <w:color w:val="000000"/>
          <w:sz w:val="28"/>
          <w:szCs w:val="28"/>
        </w:rPr>
        <w:t>【  】年【  】</w:t>
      </w:r>
      <w:r>
        <w:rPr>
          <w:rFonts w:eastAsia="楷体_GB2312"/>
          <w:b/>
          <w:color w:val="000000"/>
          <w:sz w:val="28"/>
          <w:szCs w:val="28"/>
        </w:rPr>
        <w:t>月</w:t>
      </w:r>
    </w:p>
    <w:p w14:paraId="484833BB">
      <w:pPr>
        <w:pStyle w:val="56"/>
        <w:spacing w:before="0" w:line="560" w:lineRule="exact"/>
        <w:rPr>
          <w:rFonts w:eastAsia="楷体_GB2312"/>
        </w:rPr>
        <w:sectPr>
          <w:footerReference r:id="rId6" w:type="firs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14F56E32">
      <w:pPr>
        <w:spacing w:line="360" w:lineRule="auto"/>
        <w:jc w:val="center"/>
        <w:rPr>
          <w:rFonts w:eastAsia="楷体_GB2312"/>
          <w:b/>
          <w:color w:val="000000"/>
          <w:sz w:val="24"/>
        </w:rPr>
      </w:pPr>
      <w:r>
        <w:rPr>
          <w:rFonts w:eastAsia="楷体_GB2312"/>
          <w:b/>
          <w:color w:val="000000"/>
          <w:sz w:val="24"/>
        </w:rPr>
        <w:t>目</w:t>
      </w:r>
      <w:r>
        <w:rPr>
          <w:rFonts w:eastAsia="楷体_GB2312"/>
          <w:b/>
          <w:color w:val="000000"/>
          <w:sz w:val="24"/>
        </w:rPr>
        <w:tab/>
      </w:r>
      <w:r>
        <w:rPr>
          <w:rFonts w:eastAsia="楷体_GB2312"/>
          <w:b/>
          <w:color w:val="000000"/>
          <w:sz w:val="24"/>
        </w:rPr>
        <w:t>录</w:t>
      </w:r>
    </w:p>
    <w:p w14:paraId="26911ECD">
      <w:pPr>
        <w:pStyle w:val="21"/>
        <w:rPr>
          <w:rFonts w:hint="eastAsia" w:asciiTheme="minorHAnsi" w:hAnsiTheme="minorHAnsi" w:eastAsiaTheme="minorEastAsia" w:cstheme="minorBidi"/>
          <w:sz w:val="22"/>
          <w14:ligatures w14:val="standardContextual"/>
        </w:rPr>
      </w:pPr>
      <w:r>
        <w:rPr>
          <w:rFonts w:eastAsia="楷体_GB2312"/>
          <w:b/>
          <w:color w:val="000000"/>
          <w:sz w:val="24"/>
        </w:rPr>
        <w:fldChar w:fldCharType="begin"/>
      </w:r>
      <w:r>
        <w:rPr>
          <w:rStyle w:val="34"/>
          <w:rFonts w:eastAsia="楷体_GB2312"/>
          <w:b/>
          <w:color w:val="000000"/>
          <w:sz w:val="24"/>
        </w:rPr>
        <w:instrText xml:space="preserve"> TOC \o "1-1" \h \z \u </w:instrText>
      </w:r>
      <w:r>
        <w:rPr>
          <w:rFonts w:eastAsia="楷体_GB2312"/>
          <w:b/>
          <w:color w:val="000000"/>
          <w:sz w:val="24"/>
        </w:rPr>
        <w:fldChar w:fldCharType="separate"/>
      </w:r>
      <w:bookmarkStart w:id="0" w:name="_Hlt449340538"/>
      <w:bookmarkEnd w:id="0"/>
      <w:bookmarkStart w:id="1" w:name="_Hlt449300676"/>
      <w:bookmarkEnd w:id="1"/>
      <w:bookmarkStart w:id="2" w:name="_Hlt449358172"/>
      <w:bookmarkEnd w:id="2"/>
      <w:bookmarkStart w:id="3" w:name="_Hlt449340718"/>
      <w:bookmarkEnd w:id="3"/>
      <w:bookmarkStart w:id="4" w:name="_Hlt449359144"/>
      <w:bookmarkEnd w:id="4"/>
      <w:bookmarkStart w:id="5" w:name="_Hlt449340539"/>
      <w:bookmarkEnd w:id="5"/>
      <w:bookmarkStart w:id="6" w:name="_Hlt449347046"/>
      <w:bookmarkEnd w:id="6"/>
      <w:bookmarkStart w:id="7" w:name="_Hlt449300886"/>
      <w:bookmarkEnd w:id="7"/>
      <w:bookmarkStart w:id="8" w:name="_Hlt449300670"/>
      <w:bookmarkEnd w:id="8"/>
      <w:bookmarkStart w:id="9" w:name="_Hlt449345406"/>
      <w:bookmarkEnd w:id="9"/>
      <w:bookmarkStart w:id="10" w:name="_Hlt449366287"/>
      <w:bookmarkEnd w:id="10"/>
      <w:r>
        <w:rPr>
          <w:rStyle w:val="34"/>
          <w:rFonts w:hint="eastAsia"/>
        </w:rPr>
        <w:fldChar w:fldCharType="begin"/>
      </w:r>
      <w:r>
        <w:rPr>
          <w:rStyle w:val="34"/>
          <w:rFonts w:hint="eastAsia"/>
        </w:rPr>
        <w:instrText xml:space="preserve"> </w:instrText>
      </w:r>
      <w:r>
        <w:rPr>
          <w:rFonts w:hint="eastAsia"/>
        </w:rPr>
        <w:instrText xml:space="preserve">HYPERLINK \l "_Toc225538149"</w:instrText>
      </w:r>
      <w:r>
        <w:rPr>
          <w:rStyle w:val="34"/>
          <w:rFonts w:hint="eastAsia"/>
        </w:rPr>
        <w:instrText xml:space="preserve"> </w:instrText>
      </w:r>
      <w:r>
        <w:rPr>
          <w:rStyle w:val="34"/>
          <w:rFonts w:hint="eastAsia"/>
        </w:rPr>
        <w:fldChar w:fldCharType="separate"/>
      </w:r>
      <w:r>
        <w:rPr>
          <w:rStyle w:val="34"/>
          <w:rFonts w:hint="eastAsia" w:eastAsia="楷体_GB2312"/>
          <w:b/>
        </w:rPr>
        <w:t>1</w:t>
      </w:r>
      <w:r>
        <w:rPr>
          <w:rFonts w:hint="eastAsia" w:asciiTheme="minorHAnsi" w:hAnsiTheme="minorHAnsi" w:eastAsiaTheme="minorEastAsia" w:cstheme="minorBidi"/>
          <w:sz w:val="22"/>
          <w14:ligatures w14:val="standardContextual"/>
        </w:rPr>
        <w:tab/>
      </w:r>
      <w:r>
        <w:rPr>
          <w:rStyle w:val="34"/>
          <w:rFonts w:hint="eastAsia" w:eastAsia="楷体_GB2312"/>
          <w:b/>
          <w:lang w:val="en-GB"/>
        </w:rPr>
        <w:t>定义</w:t>
      </w:r>
      <w:r>
        <w:rPr>
          <w:rFonts w:hint="eastAsia"/>
        </w:rPr>
        <w:tab/>
      </w:r>
      <w:r>
        <w:rPr>
          <w:rFonts w:hint="eastAsia"/>
        </w:rPr>
        <w:fldChar w:fldCharType="begin"/>
      </w:r>
      <w:r>
        <w:rPr>
          <w:rFonts w:hint="eastAsia"/>
        </w:rPr>
        <w:instrText xml:space="preserve"> </w:instrText>
      </w:r>
      <w:r>
        <w:instrText xml:space="preserve">PAGEREF _Toc225538149 \h</w:instrText>
      </w:r>
      <w:r>
        <w:rPr>
          <w:rFonts w:hint="eastAsia"/>
        </w:rPr>
        <w:instrText xml:space="preserve"> </w:instrText>
      </w:r>
      <w:r>
        <w:rPr>
          <w:rFonts w:hint="eastAsia"/>
        </w:rPr>
        <w:fldChar w:fldCharType="separate"/>
      </w:r>
      <w:r>
        <w:t>3</w:t>
      </w:r>
      <w:r>
        <w:rPr>
          <w:rFonts w:hint="eastAsia"/>
        </w:rPr>
        <w:fldChar w:fldCharType="end"/>
      </w:r>
      <w:r>
        <w:rPr>
          <w:rStyle w:val="34"/>
          <w:rFonts w:hint="eastAsia"/>
        </w:rPr>
        <w:fldChar w:fldCharType="end"/>
      </w:r>
    </w:p>
    <w:p w14:paraId="28575F83">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"_Toc225538150" </w:instrText>
      </w:r>
      <w:r>
        <w:fldChar w:fldCharType="separate"/>
      </w:r>
      <w:r>
        <w:rPr>
          <w:rStyle w:val="34"/>
          <w:rFonts w:hint="eastAsia" w:eastAsia="楷体_GB2312"/>
          <w:b/>
          <w:bCs/>
        </w:rPr>
        <w:t>2</w:t>
      </w:r>
      <w:r>
        <w:rPr>
          <w:rFonts w:hint="eastAsia" w:asciiTheme="minorHAnsi" w:hAnsiTheme="minorHAnsi" w:eastAsiaTheme="minorEastAsia" w:cstheme="minorBidi"/>
          <w:sz w:val="22"/>
          <w14:ligatures w14:val="standardContextual"/>
        </w:rPr>
        <w:tab/>
      </w:r>
      <w:r>
        <w:rPr>
          <w:rStyle w:val="34"/>
          <w:rFonts w:hint="eastAsia" w:eastAsia="楷体_GB2312"/>
          <w:b/>
          <w:bCs/>
        </w:rPr>
        <w:t>信托目的</w:t>
      </w:r>
      <w:r>
        <w:rPr>
          <w:rFonts w:hint="eastAsia"/>
        </w:rPr>
        <w:tab/>
      </w:r>
      <w:r>
        <w:rPr>
          <w:rFonts w:hint="eastAsia"/>
        </w:rPr>
        <w:fldChar w:fldCharType="begin"/>
      </w:r>
      <w:r>
        <w:rPr>
          <w:rFonts w:hint="eastAsia"/>
        </w:rPr>
        <w:instrText xml:space="preserve"> </w:instrText>
      </w:r>
      <w:r>
        <w:instrText xml:space="preserve">PAGEREF _Toc225538150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AF7F18B">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"_Toc225538151" </w:instrText>
      </w:r>
      <w:r>
        <w:fldChar w:fldCharType="separate"/>
      </w:r>
      <w:r>
        <w:rPr>
          <w:rStyle w:val="34"/>
          <w:rFonts w:hint="eastAsia" w:eastAsia="楷体_GB2312"/>
          <w:b/>
        </w:rPr>
        <w:t>3</w:t>
      </w:r>
      <w:r>
        <w:rPr>
          <w:rFonts w:hint="eastAsia" w:asciiTheme="minorHAnsi" w:hAnsiTheme="minorHAnsi" w:eastAsiaTheme="minorEastAsia" w:cstheme="minorBidi"/>
          <w:sz w:val="22"/>
          <w14:ligatures w14:val="standardContextual"/>
        </w:rPr>
        <w:tab/>
      </w:r>
      <w:r>
        <w:rPr>
          <w:rStyle w:val="34"/>
          <w:rFonts w:hint="eastAsia" w:eastAsia="楷体_GB2312"/>
          <w:b/>
        </w:rPr>
        <w:t>信托的设立</w:t>
      </w:r>
      <w:r>
        <w:rPr>
          <w:rFonts w:hint="eastAsia"/>
        </w:rPr>
        <w:tab/>
      </w:r>
      <w:r>
        <w:rPr>
          <w:rFonts w:hint="eastAsia"/>
        </w:rPr>
        <w:fldChar w:fldCharType="begin"/>
      </w:r>
      <w:r>
        <w:rPr>
          <w:rFonts w:hint="eastAsia"/>
        </w:rPr>
        <w:instrText xml:space="preserve"> </w:instrText>
      </w:r>
      <w:r>
        <w:instrText xml:space="preserve">PAGEREF _Toc225538151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4FA29E0">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"_Toc225538152" </w:instrText>
      </w:r>
      <w:r>
        <w:fldChar w:fldCharType="separate"/>
      </w:r>
      <w:r>
        <w:rPr>
          <w:rStyle w:val="34"/>
          <w:rFonts w:hint="eastAsia" w:eastAsia="楷体_GB2312"/>
          <w:b/>
        </w:rPr>
        <w:t>4</w:t>
      </w:r>
      <w:r>
        <w:rPr>
          <w:rFonts w:hint="eastAsia" w:asciiTheme="minorHAnsi" w:hAnsiTheme="minorHAnsi" w:eastAsiaTheme="minorEastAsia" w:cstheme="minorBidi"/>
          <w:sz w:val="22"/>
          <w14:ligatures w14:val="standardContextual"/>
        </w:rPr>
        <w:tab/>
      </w:r>
      <w:r>
        <w:rPr>
          <w:rStyle w:val="34"/>
          <w:rFonts w:hint="eastAsia" w:eastAsia="楷体_GB2312"/>
          <w:b/>
          <w:lang w:val="en-GB"/>
        </w:rPr>
        <w:t>不合格资产的</w:t>
      </w:r>
      <w:r>
        <w:rPr>
          <w:rStyle w:val="34"/>
          <w:rFonts w:hint="eastAsia" w:eastAsia="楷体_GB2312"/>
          <w:b/>
        </w:rPr>
        <w:t>赎回</w:t>
      </w:r>
      <w:r>
        <w:rPr>
          <w:rFonts w:hint="eastAsia"/>
        </w:rPr>
        <w:tab/>
      </w:r>
      <w:r>
        <w:rPr>
          <w:rFonts w:hint="eastAsia"/>
        </w:rPr>
        <w:fldChar w:fldCharType="begin"/>
      </w:r>
      <w:r>
        <w:rPr>
          <w:rFonts w:hint="eastAsia"/>
        </w:rPr>
        <w:instrText xml:space="preserve"> </w:instrText>
      </w:r>
      <w:r>
        <w:instrText xml:space="preserve">PAGEREF _Toc225538152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C25620D">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"_Toc225538153" </w:instrText>
      </w:r>
      <w:r>
        <w:fldChar w:fldCharType="separate"/>
      </w:r>
      <w:r>
        <w:rPr>
          <w:rStyle w:val="34"/>
          <w:rFonts w:hint="eastAsia" w:eastAsia="楷体_GB2312"/>
          <w:b/>
        </w:rPr>
        <w:t>5</w:t>
      </w:r>
      <w:r>
        <w:rPr>
          <w:rFonts w:hint="eastAsia" w:asciiTheme="minorHAnsi" w:hAnsiTheme="minorHAnsi" w:eastAsiaTheme="minorEastAsia" w:cstheme="minorBidi"/>
          <w:sz w:val="22"/>
          <w14:ligatures w14:val="standardContextual"/>
        </w:rPr>
        <w:tab/>
      </w:r>
      <w:r>
        <w:rPr>
          <w:rStyle w:val="34"/>
          <w:rFonts w:hint="eastAsia" w:eastAsia="楷体_GB2312"/>
          <w:b/>
        </w:rPr>
        <w:t>权利完善通知</w:t>
      </w:r>
      <w:r>
        <w:rPr>
          <w:rFonts w:hint="eastAsia"/>
        </w:rPr>
        <w:tab/>
      </w:r>
      <w:r>
        <w:rPr>
          <w:rFonts w:hint="eastAsia"/>
        </w:rPr>
        <w:fldChar w:fldCharType="begin"/>
      </w:r>
      <w:r>
        <w:rPr>
          <w:rFonts w:hint="eastAsia"/>
        </w:rPr>
        <w:instrText xml:space="preserve"> </w:instrText>
      </w:r>
      <w:r>
        <w:instrText xml:space="preserve">PAGEREF _Toc225538153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12F40DF">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"_Toc225538154" </w:instrText>
      </w:r>
      <w:r>
        <w:fldChar w:fldCharType="separate"/>
      </w:r>
      <w:r>
        <w:rPr>
          <w:rStyle w:val="34"/>
          <w:rFonts w:hint="eastAsia" w:eastAsia="楷体_GB2312"/>
          <w:b/>
        </w:rPr>
        <w:t>6</w:t>
      </w:r>
      <w:r>
        <w:rPr>
          <w:rFonts w:hint="eastAsia" w:asciiTheme="minorHAnsi" w:hAnsiTheme="minorHAnsi" w:eastAsiaTheme="minorEastAsia" w:cstheme="minorBidi"/>
          <w:sz w:val="22"/>
          <w14:ligatures w14:val="standardContextual"/>
        </w:rPr>
        <w:tab/>
      </w:r>
      <w:r>
        <w:rPr>
          <w:rStyle w:val="34"/>
          <w:rFonts w:hint="eastAsia" w:eastAsia="楷体_GB2312"/>
          <w:b/>
        </w:rPr>
        <w:t>委托人的权利和义务、陈述和保证</w:t>
      </w:r>
      <w:r>
        <w:rPr>
          <w:rFonts w:hint="eastAsia"/>
        </w:rPr>
        <w:tab/>
      </w:r>
      <w:r>
        <w:rPr>
          <w:rFonts w:hint="eastAsia"/>
        </w:rPr>
        <w:fldChar w:fldCharType="begin"/>
      </w:r>
      <w:r>
        <w:rPr>
          <w:rFonts w:hint="eastAsia"/>
        </w:rPr>
        <w:instrText xml:space="preserve"> </w:instrText>
      </w:r>
      <w:r>
        <w:instrText xml:space="preserve">PAGEREF _Toc225538154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CD89508">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"_Toc225538155" </w:instrText>
      </w:r>
      <w:r>
        <w:fldChar w:fldCharType="separate"/>
      </w:r>
      <w:r>
        <w:rPr>
          <w:rStyle w:val="34"/>
          <w:rFonts w:hint="eastAsia" w:eastAsia="楷体_GB2312"/>
          <w:b/>
        </w:rPr>
        <w:t>7</w:t>
      </w:r>
      <w:r>
        <w:rPr>
          <w:rFonts w:hint="eastAsia" w:asciiTheme="minorHAnsi" w:hAnsiTheme="minorHAnsi" w:eastAsiaTheme="minorEastAsia" w:cstheme="minorBidi"/>
          <w:sz w:val="22"/>
          <w14:ligatures w14:val="standardContextual"/>
        </w:rPr>
        <w:tab/>
      </w:r>
      <w:r>
        <w:rPr>
          <w:rStyle w:val="34"/>
          <w:rFonts w:hint="eastAsia" w:eastAsia="楷体_GB2312"/>
          <w:b/>
        </w:rPr>
        <w:t>受托人的权利和义务、陈述和保证</w:t>
      </w:r>
      <w:r>
        <w:rPr>
          <w:rFonts w:hint="eastAsia"/>
        </w:rPr>
        <w:tab/>
      </w:r>
      <w:r>
        <w:rPr>
          <w:rFonts w:hint="eastAsia"/>
        </w:rPr>
        <w:fldChar w:fldCharType="begin"/>
      </w:r>
      <w:r>
        <w:rPr>
          <w:rFonts w:hint="eastAsia"/>
        </w:rPr>
        <w:instrText xml:space="preserve"> </w:instrText>
      </w:r>
      <w:r>
        <w:instrText xml:space="preserve">PAGEREF _Toc225538155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4BDA54EF">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"_Toc225538156" </w:instrText>
      </w:r>
      <w:r>
        <w:fldChar w:fldCharType="separate"/>
      </w:r>
      <w:r>
        <w:rPr>
          <w:rStyle w:val="34"/>
          <w:rFonts w:hint="eastAsia" w:eastAsia="楷体_GB2312"/>
          <w:b/>
        </w:rPr>
        <w:t>8</w:t>
      </w:r>
      <w:r>
        <w:rPr>
          <w:rFonts w:hint="eastAsia" w:asciiTheme="minorHAnsi" w:hAnsiTheme="minorHAnsi" w:eastAsiaTheme="minorEastAsia" w:cstheme="minorBidi"/>
          <w:sz w:val="22"/>
          <w14:ligatures w14:val="standardContextual"/>
        </w:rPr>
        <w:tab/>
      </w:r>
      <w:r>
        <w:rPr>
          <w:rStyle w:val="34"/>
          <w:rFonts w:hint="eastAsia" w:eastAsia="楷体_GB2312"/>
          <w:b/>
        </w:rPr>
        <w:t>受益人的权利与义务</w:t>
      </w:r>
      <w:r>
        <w:rPr>
          <w:rFonts w:hint="eastAsia"/>
        </w:rPr>
        <w:tab/>
      </w:r>
      <w:r>
        <w:rPr>
          <w:rFonts w:hint="eastAsia"/>
        </w:rPr>
        <w:fldChar w:fldCharType="begin"/>
      </w:r>
      <w:r>
        <w:rPr>
          <w:rFonts w:hint="eastAsia"/>
        </w:rPr>
        <w:instrText xml:space="preserve"> </w:instrText>
      </w:r>
      <w:r>
        <w:instrText xml:space="preserve">PAGEREF _Toc225538156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11F92693">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"_Toc225538157" </w:instrText>
      </w:r>
      <w:r>
        <w:fldChar w:fldCharType="separate"/>
      </w:r>
      <w:r>
        <w:rPr>
          <w:rStyle w:val="34"/>
          <w:rFonts w:hint="eastAsia" w:eastAsia="楷体_GB2312"/>
          <w:b/>
        </w:rPr>
        <w:t>9</w:t>
      </w:r>
      <w:r>
        <w:rPr>
          <w:rFonts w:hint="eastAsia" w:asciiTheme="minorHAnsi" w:hAnsiTheme="minorHAnsi" w:eastAsiaTheme="minorEastAsia" w:cstheme="minorBidi"/>
          <w:sz w:val="22"/>
          <w14:ligatures w14:val="standardContextual"/>
        </w:rPr>
        <w:tab/>
      </w:r>
      <w:r>
        <w:rPr>
          <w:rStyle w:val="34"/>
          <w:rFonts w:hint="eastAsia" w:eastAsia="楷体_GB2312"/>
          <w:b/>
        </w:rPr>
        <w:t>信托受益权和资产支持证券</w:t>
      </w:r>
      <w:r>
        <w:rPr>
          <w:rFonts w:hint="eastAsia"/>
        </w:rPr>
        <w:tab/>
      </w:r>
      <w:r>
        <w:rPr>
          <w:rFonts w:hint="eastAsia"/>
        </w:rPr>
        <w:fldChar w:fldCharType="begin"/>
      </w:r>
      <w:r>
        <w:rPr>
          <w:rFonts w:hint="eastAsia"/>
        </w:rPr>
        <w:instrText xml:space="preserve"> </w:instrText>
      </w:r>
      <w:r>
        <w:instrText xml:space="preserve">PAGEREF _Toc225538157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1E498F66">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"_Toc225538158" </w:instrText>
      </w:r>
      <w:r>
        <w:fldChar w:fldCharType="separate"/>
      </w:r>
      <w:r>
        <w:rPr>
          <w:rStyle w:val="34"/>
          <w:rFonts w:hint="eastAsia" w:eastAsia="楷体_GB2312"/>
          <w:b/>
        </w:rPr>
        <w:t>10</w:t>
      </w:r>
      <w:r>
        <w:rPr>
          <w:rFonts w:hint="eastAsia" w:asciiTheme="minorHAnsi" w:hAnsiTheme="minorHAnsi" w:eastAsiaTheme="minorEastAsia" w:cstheme="minorBidi"/>
          <w:sz w:val="22"/>
          <w14:ligatures w14:val="standardContextual"/>
        </w:rPr>
        <w:tab/>
      </w:r>
      <w:r>
        <w:rPr>
          <w:rStyle w:val="34"/>
          <w:rFonts w:hint="eastAsia" w:eastAsia="楷体_GB2312"/>
          <w:b/>
        </w:rPr>
        <w:t>信托账户</w:t>
      </w:r>
      <w:r>
        <w:rPr>
          <w:rFonts w:hint="eastAsia"/>
        </w:rPr>
        <w:tab/>
      </w:r>
      <w:r>
        <w:rPr>
          <w:rFonts w:hint="eastAsia"/>
        </w:rPr>
        <w:fldChar w:fldCharType="begin"/>
      </w:r>
      <w:r>
        <w:rPr>
          <w:rFonts w:hint="eastAsia"/>
        </w:rPr>
        <w:instrText xml:space="preserve"> </w:instrText>
      </w:r>
      <w:r>
        <w:instrText xml:space="preserve">PAGEREF _Toc225538158 \h</w:instrText>
      </w:r>
      <w:r>
        <w:rPr>
          <w:rFonts w:hint="eastAsia"/>
        </w:rPr>
        <w:instrText xml:space="preserve"> </w:instrText>
      </w:r>
      <w:r>
        <w:rPr>
          <w:rFonts w:hint="eastAsia"/>
        </w:rPr>
        <w:fldChar w:fldCharType="separate"/>
      </w:r>
      <w:r>
        <w:t>38</w:t>
      </w:r>
      <w:r>
        <w:rPr>
          <w:rFonts w:hint="eastAsia"/>
        </w:rPr>
        <w:fldChar w:fldCharType="end"/>
      </w:r>
      <w:r>
        <w:rPr>
          <w:rFonts w:hint="eastAsia"/>
        </w:rPr>
        <w:fldChar w:fldCharType="end"/>
      </w:r>
    </w:p>
    <w:p w14:paraId="070F062A">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"_Toc225538159" </w:instrText>
      </w:r>
      <w:r>
        <w:fldChar w:fldCharType="separate"/>
      </w:r>
      <w:r>
        <w:rPr>
          <w:rStyle w:val="34"/>
          <w:rFonts w:hint="eastAsia" w:eastAsia="楷体_GB2312"/>
          <w:b/>
        </w:rPr>
        <w:t>11</w:t>
      </w:r>
      <w:r>
        <w:rPr>
          <w:rFonts w:hint="eastAsia" w:asciiTheme="minorHAnsi" w:hAnsiTheme="minorHAnsi" w:eastAsiaTheme="minorEastAsia" w:cstheme="minorBidi"/>
          <w:sz w:val="22"/>
          <w14:ligatures w14:val="standardContextual"/>
        </w:rPr>
        <w:tab/>
      </w:r>
      <w:r>
        <w:rPr>
          <w:rStyle w:val="34"/>
          <w:rFonts w:hint="eastAsia" w:eastAsia="楷体_GB2312"/>
          <w:b/>
        </w:rPr>
        <w:t>处置收入的转付、核算与分配</w:t>
      </w:r>
      <w:r>
        <w:rPr>
          <w:rFonts w:hint="eastAsia"/>
        </w:rPr>
        <w:tab/>
      </w:r>
      <w:r>
        <w:rPr>
          <w:rFonts w:hint="eastAsia"/>
        </w:rPr>
        <w:fldChar w:fldCharType="begin"/>
      </w:r>
      <w:r>
        <w:rPr>
          <w:rFonts w:hint="eastAsia"/>
        </w:rPr>
        <w:instrText xml:space="preserve"> </w:instrText>
      </w:r>
      <w:r>
        <w:instrText xml:space="preserve">PAGEREF _Toc225538159 \h</w:instrText>
      </w:r>
      <w:r>
        <w:rPr>
          <w:rFonts w:hint="eastAsia"/>
        </w:rPr>
        <w:instrText xml:space="preserve"> </w:instrText>
      </w:r>
      <w:r>
        <w:rPr>
          <w:rFonts w:hint="eastAsia"/>
        </w:rPr>
        <w:fldChar w:fldCharType="separate"/>
      </w:r>
      <w:r>
        <w:t>41</w:t>
      </w:r>
      <w:r>
        <w:rPr>
          <w:rFonts w:hint="eastAsia"/>
        </w:rPr>
        <w:fldChar w:fldCharType="end"/>
      </w:r>
      <w:r>
        <w:rPr>
          <w:rFonts w:hint="eastAsia"/>
        </w:rPr>
        <w:fldChar w:fldCharType="end"/>
      </w:r>
    </w:p>
    <w:p w14:paraId="666C1F05">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"_Toc225538160" </w:instrText>
      </w:r>
      <w:r>
        <w:fldChar w:fldCharType="separate"/>
      </w:r>
      <w:r>
        <w:rPr>
          <w:rStyle w:val="34"/>
          <w:rFonts w:hint="eastAsia" w:eastAsia="楷体_GB2312"/>
          <w:b/>
        </w:rPr>
        <w:t>12</w:t>
      </w:r>
      <w:r>
        <w:rPr>
          <w:rFonts w:hint="eastAsia" w:asciiTheme="minorHAnsi" w:hAnsiTheme="minorHAnsi" w:eastAsiaTheme="minorEastAsia" w:cstheme="minorBidi"/>
          <w:sz w:val="22"/>
          <w14:ligatures w14:val="standardContextual"/>
        </w:rPr>
        <w:tab/>
      </w:r>
      <w:r>
        <w:rPr>
          <w:rStyle w:val="34"/>
          <w:rFonts w:hint="eastAsia" w:eastAsia="楷体_GB2312"/>
          <w:b/>
          <w:bCs/>
        </w:rPr>
        <w:t>信托财产的</w:t>
      </w:r>
      <w:r>
        <w:rPr>
          <w:rStyle w:val="34"/>
          <w:rFonts w:hint="eastAsia" w:eastAsia="楷体_GB2312"/>
          <w:b/>
        </w:rPr>
        <w:t>管理与保管</w:t>
      </w:r>
      <w:r>
        <w:rPr>
          <w:rFonts w:hint="eastAsia"/>
        </w:rPr>
        <w:tab/>
      </w:r>
      <w:r>
        <w:rPr>
          <w:rFonts w:hint="eastAsia"/>
        </w:rPr>
        <w:fldChar w:fldCharType="begin"/>
      </w:r>
      <w:r>
        <w:rPr>
          <w:rFonts w:hint="eastAsia"/>
        </w:rPr>
        <w:instrText xml:space="preserve"> </w:instrText>
      </w:r>
      <w:r>
        <w:instrText xml:space="preserve">PAGEREF _Toc225538160 \h</w:instrText>
      </w:r>
      <w:r>
        <w:rPr>
          <w:rFonts w:hint="eastAsia"/>
        </w:rPr>
        <w:instrText xml:space="preserve"> </w:instrText>
      </w:r>
      <w:r>
        <w:rPr>
          <w:rFonts w:hint="eastAsia"/>
        </w:rPr>
        <w:fldChar w:fldCharType="separate"/>
      </w:r>
      <w:r>
        <w:t>51</w:t>
      </w:r>
      <w:r>
        <w:rPr>
          <w:rFonts w:hint="eastAsia"/>
        </w:rPr>
        <w:fldChar w:fldCharType="end"/>
      </w:r>
      <w:r>
        <w:rPr>
          <w:rFonts w:hint="eastAsia"/>
        </w:rPr>
        <w:fldChar w:fldCharType="end"/>
      </w:r>
    </w:p>
    <w:p w14:paraId="5CEEF1A2">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"_Toc225538161" </w:instrText>
      </w:r>
      <w:r>
        <w:fldChar w:fldCharType="separate"/>
      </w:r>
      <w:r>
        <w:rPr>
          <w:rStyle w:val="34"/>
          <w:rFonts w:hint="eastAsia" w:eastAsia="楷体_GB2312"/>
          <w:b/>
        </w:rPr>
        <w:t>13</w:t>
      </w:r>
      <w:r>
        <w:rPr>
          <w:rFonts w:hint="eastAsia" w:asciiTheme="minorHAnsi" w:hAnsiTheme="minorHAnsi" w:eastAsiaTheme="minorEastAsia" w:cstheme="minorBidi"/>
          <w:sz w:val="22"/>
          <w14:ligatures w14:val="standardContextual"/>
        </w:rPr>
        <w:tab/>
      </w:r>
      <w:r>
        <w:rPr>
          <w:rStyle w:val="34"/>
          <w:rFonts w:hint="eastAsia" w:eastAsia="楷体_GB2312"/>
          <w:b/>
        </w:rPr>
        <w:t>清仓回购</w:t>
      </w:r>
      <w:r>
        <w:rPr>
          <w:rFonts w:hint="eastAsia"/>
        </w:rPr>
        <w:tab/>
      </w:r>
      <w:r>
        <w:rPr>
          <w:rFonts w:hint="eastAsia"/>
        </w:rPr>
        <w:fldChar w:fldCharType="begin"/>
      </w:r>
      <w:r>
        <w:rPr>
          <w:rFonts w:hint="eastAsia"/>
        </w:rPr>
        <w:instrText xml:space="preserve"> </w:instrText>
      </w:r>
      <w:r>
        <w:instrText xml:space="preserve">PAGEREF _Toc225538161 \h</w:instrText>
      </w:r>
      <w:r>
        <w:rPr>
          <w:rFonts w:hint="eastAsia"/>
        </w:rPr>
        <w:instrText xml:space="preserve"> </w:instrText>
      </w:r>
      <w:r>
        <w:rPr>
          <w:rFonts w:hint="eastAsia"/>
        </w:rPr>
        <w:fldChar w:fldCharType="separate"/>
      </w:r>
      <w:r>
        <w:t>55</w:t>
      </w:r>
      <w:r>
        <w:rPr>
          <w:rFonts w:hint="eastAsia"/>
        </w:rPr>
        <w:fldChar w:fldCharType="end"/>
      </w:r>
      <w:r>
        <w:rPr>
          <w:rFonts w:hint="eastAsia"/>
        </w:rPr>
        <w:fldChar w:fldCharType="end"/>
      </w:r>
    </w:p>
    <w:p w14:paraId="55B8C67E">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"_Toc225538162" </w:instrText>
      </w:r>
      <w:r>
        <w:fldChar w:fldCharType="separate"/>
      </w:r>
      <w:r>
        <w:rPr>
          <w:rStyle w:val="34"/>
          <w:rFonts w:hint="eastAsia" w:eastAsia="楷体_GB2312"/>
          <w:b/>
        </w:rPr>
        <w:t>14</w:t>
      </w:r>
      <w:r>
        <w:rPr>
          <w:rFonts w:hint="eastAsia" w:asciiTheme="minorHAnsi" w:hAnsiTheme="minorHAnsi" w:eastAsiaTheme="minorEastAsia" w:cstheme="minorBidi"/>
          <w:sz w:val="22"/>
          <w14:ligatures w14:val="standardContextual"/>
        </w:rPr>
        <w:tab/>
      </w:r>
      <w:r>
        <w:rPr>
          <w:rStyle w:val="34"/>
          <w:rFonts w:hint="eastAsia" w:eastAsia="楷体_GB2312"/>
          <w:b/>
        </w:rPr>
        <w:t>信托的终止与清算</w:t>
      </w:r>
      <w:r>
        <w:rPr>
          <w:rFonts w:hint="eastAsia"/>
        </w:rPr>
        <w:tab/>
      </w:r>
      <w:r>
        <w:rPr>
          <w:rFonts w:hint="eastAsia"/>
        </w:rPr>
        <w:fldChar w:fldCharType="begin"/>
      </w:r>
      <w:r>
        <w:rPr>
          <w:rFonts w:hint="eastAsia"/>
        </w:rPr>
        <w:instrText xml:space="preserve"> </w:instrText>
      </w:r>
      <w:r>
        <w:instrText xml:space="preserve">PAGEREF _Toc225538162 \h</w:instrText>
      </w:r>
      <w:r>
        <w:rPr>
          <w:rFonts w:hint="eastAsia"/>
        </w:rPr>
        <w:instrText xml:space="preserve"> </w:instrText>
      </w:r>
      <w:r>
        <w:rPr>
          <w:rFonts w:hint="eastAsia"/>
        </w:rPr>
        <w:fldChar w:fldCharType="separate"/>
      </w:r>
      <w:r>
        <w:t>58</w:t>
      </w:r>
      <w:r>
        <w:rPr>
          <w:rFonts w:hint="eastAsia"/>
        </w:rPr>
        <w:fldChar w:fldCharType="end"/>
      </w:r>
      <w:r>
        <w:rPr>
          <w:rFonts w:hint="eastAsia"/>
        </w:rPr>
        <w:fldChar w:fldCharType="end"/>
      </w:r>
    </w:p>
    <w:p w14:paraId="2CA3A62B">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"_Toc225538163" </w:instrText>
      </w:r>
      <w:r>
        <w:fldChar w:fldCharType="separate"/>
      </w:r>
      <w:r>
        <w:rPr>
          <w:rStyle w:val="34"/>
          <w:rFonts w:hint="eastAsia" w:eastAsia="楷体_GB2312"/>
          <w:b/>
        </w:rPr>
        <w:t>15</w:t>
      </w:r>
      <w:r>
        <w:rPr>
          <w:rFonts w:hint="eastAsia" w:asciiTheme="minorHAnsi" w:hAnsiTheme="minorHAnsi" w:eastAsiaTheme="minorEastAsia" w:cstheme="minorBidi"/>
          <w:sz w:val="22"/>
          <w14:ligatures w14:val="standardContextual"/>
        </w:rPr>
        <w:tab/>
      </w:r>
      <w:r>
        <w:rPr>
          <w:rStyle w:val="34"/>
          <w:rFonts w:hint="eastAsia" w:eastAsia="楷体_GB2312"/>
          <w:b/>
        </w:rPr>
        <w:t>受托人的更换</w:t>
      </w:r>
      <w:r>
        <w:rPr>
          <w:rFonts w:hint="eastAsia"/>
        </w:rPr>
        <w:tab/>
      </w:r>
      <w:r>
        <w:rPr>
          <w:rFonts w:hint="eastAsia"/>
        </w:rPr>
        <w:fldChar w:fldCharType="begin"/>
      </w:r>
      <w:r>
        <w:rPr>
          <w:rFonts w:hint="eastAsia"/>
        </w:rPr>
        <w:instrText xml:space="preserve"> </w:instrText>
      </w:r>
      <w:r>
        <w:instrText xml:space="preserve">PAGEREF _Toc225538163 \h</w:instrText>
      </w:r>
      <w:r>
        <w:rPr>
          <w:rFonts w:hint="eastAsia"/>
        </w:rPr>
        <w:instrText xml:space="preserve"> </w:instrText>
      </w:r>
      <w:r>
        <w:rPr>
          <w:rFonts w:hint="eastAsia"/>
        </w:rPr>
        <w:fldChar w:fldCharType="separate"/>
      </w:r>
      <w:r>
        <w:t>61</w:t>
      </w:r>
      <w:r>
        <w:rPr>
          <w:rFonts w:hint="eastAsia"/>
        </w:rPr>
        <w:fldChar w:fldCharType="end"/>
      </w:r>
      <w:r>
        <w:rPr>
          <w:rFonts w:hint="eastAsia"/>
        </w:rPr>
        <w:fldChar w:fldCharType="end"/>
      </w:r>
    </w:p>
    <w:p w14:paraId="1D2A83A9">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"_Toc225538164" </w:instrText>
      </w:r>
      <w:r>
        <w:fldChar w:fldCharType="separate"/>
      </w:r>
      <w:r>
        <w:rPr>
          <w:rStyle w:val="34"/>
          <w:rFonts w:hint="eastAsia" w:eastAsia="楷体_GB2312"/>
          <w:b/>
        </w:rPr>
        <w:t>16</w:t>
      </w:r>
      <w:r>
        <w:rPr>
          <w:rFonts w:hint="eastAsia" w:asciiTheme="minorHAnsi" w:hAnsiTheme="minorHAnsi" w:eastAsiaTheme="minorEastAsia" w:cstheme="minorBidi"/>
          <w:sz w:val="22"/>
          <w14:ligatures w14:val="standardContextual"/>
        </w:rPr>
        <w:tab/>
      </w:r>
      <w:r>
        <w:rPr>
          <w:rStyle w:val="34"/>
          <w:rFonts w:hint="eastAsia" w:eastAsia="楷体_GB2312"/>
          <w:b/>
        </w:rPr>
        <w:t>信托的核算</w:t>
      </w:r>
      <w:r>
        <w:rPr>
          <w:rFonts w:hint="eastAsia"/>
        </w:rPr>
        <w:tab/>
      </w:r>
      <w:r>
        <w:rPr>
          <w:rFonts w:hint="eastAsia"/>
        </w:rPr>
        <w:fldChar w:fldCharType="begin"/>
      </w:r>
      <w:r>
        <w:rPr>
          <w:rFonts w:hint="eastAsia"/>
        </w:rPr>
        <w:instrText xml:space="preserve"> </w:instrText>
      </w:r>
      <w:r>
        <w:instrText xml:space="preserve">PAGEREF _Toc225538164 \h</w:instrText>
      </w:r>
      <w:r>
        <w:rPr>
          <w:rFonts w:hint="eastAsia"/>
        </w:rPr>
        <w:instrText xml:space="preserve"> </w:instrText>
      </w:r>
      <w:r>
        <w:rPr>
          <w:rFonts w:hint="eastAsia"/>
        </w:rPr>
        <w:fldChar w:fldCharType="separate"/>
      </w:r>
      <w:r>
        <w:t>63</w:t>
      </w:r>
      <w:r>
        <w:rPr>
          <w:rFonts w:hint="eastAsia"/>
        </w:rPr>
        <w:fldChar w:fldCharType="end"/>
      </w:r>
      <w:r>
        <w:rPr>
          <w:rFonts w:hint="eastAsia"/>
        </w:rPr>
        <w:fldChar w:fldCharType="end"/>
      </w:r>
    </w:p>
    <w:p w14:paraId="03099B2D">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"_Toc225538165" </w:instrText>
      </w:r>
      <w:r>
        <w:fldChar w:fldCharType="separate"/>
      </w:r>
      <w:r>
        <w:rPr>
          <w:rStyle w:val="34"/>
          <w:rFonts w:hint="eastAsia" w:eastAsia="楷体_GB2312"/>
          <w:b/>
        </w:rPr>
        <w:t>17</w:t>
      </w:r>
      <w:r>
        <w:rPr>
          <w:rFonts w:hint="eastAsia" w:asciiTheme="minorHAnsi" w:hAnsiTheme="minorHAnsi" w:eastAsiaTheme="minorEastAsia" w:cstheme="minorBidi"/>
          <w:sz w:val="22"/>
          <w14:ligatures w14:val="standardContextual"/>
        </w:rPr>
        <w:tab/>
      </w:r>
      <w:r>
        <w:rPr>
          <w:rStyle w:val="34"/>
          <w:rFonts w:hint="eastAsia" w:eastAsia="楷体_GB2312"/>
          <w:b/>
        </w:rPr>
        <w:t>费用和报酬</w:t>
      </w:r>
      <w:r>
        <w:rPr>
          <w:rFonts w:hint="eastAsia"/>
        </w:rPr>
        <w:tab/>
      </w:r>
      <w:r>
        <w:rPr>
          <w:rFonts w:hint="eastAsia"/>
        </w:rPr>
        <w:fldChar w:fldCharType="begin"/>
      </w:r>
      <w:r>
        <w:rPr>
          <w:rFonts w:hint="eastAsia"/>
        </w:rPr>
        <w:instrText xml:space="preserve"> </w:instrText>
      </w:r>
      <w:r>
        <w:instrText xml:space="preserve">PAGEREF _Toc225538165 \h</w:instrText>
      </w:r>
      <w:r>
        <w:rPr>
          <w:rFonts w:hint="eastAsia"/>
        </w:rPr>
        <w:instrText xml:space="preserve"> </w:instrText>
      </w:r>
      <w:r>
        <w:rPr>
          <w:rFonts w:hint="eastAsia"/>
        </w:rPr>
        <w:fldChar w:fldCharType="separate"/>
      </w:r>
      <w:r>
        <w:t>63</w:t>
      </w:r>
      <w:r>
        <w:rPr>
          <w:rFonts w:hint="eastAsia"/>
        </w:rPr>
        <w:fldChar w:fldCharType="end"/>
      </w:r>
      <w:r>
        <w:rPr>
          <w:rFonts w:hint="eastAsia"/>
        </w:rPr>
        <w:fldChar w:fldCharType="end"/>
      </w:r>
    </w:p>
    <w:p w14:paraId="2292CA57">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"_Toc225538166" </w:instrText>
      </w:r>
      <w:r>
        <w:fldChar w:fldCharType="separate"/>
      </w:r>
      <w:r>
        <w:rPr>
          <w:rStyle w:val="34"/>
          <w:rFonts w:hint="eastAsia" w:eastAsia="楷体_GB2312"/>
          <w:b/>
          <w:bCs/>
        </w:rPr>
        <w:t>18</w:t>
      </w:r>
      <w:r>
        <w:rPr>
          <w:rFonts w:hint="eastAsia" w:asciiTheme="minorHAnsi" w:hAnsiTheme="minorHAnsi" w:eastAsiaTheme="minorEastAsia" w:cstheme="minorBidi"/>
          <w:sz w:val="22"/>
          <w14:ligatures w14:val="standardContextual"/>
        </w:rPr>
        <w:tab/>
      </w:r>
      <w:r>
        <w:rPr>
          <w:rStyle w:val="34"/>
          <w:rFonts w:hint="eastAsia" w:eastAsia="楷体_GB2312"/>
          <w:b/>
        </w:rPr>
        <w:t>税负承担</w:t>
      </w:r>
      <w:r>
        <w:rPr>
          <w:rFonts w:hint="eastAsia"/>
        </w:rPr>
        <w:tab/>
      </w:r>
      <w:r>
        <w:rPr>
          <w:rFonts w:hint="eastAsia"/>
        </w:rPr>
        <w:fldChar w:fldCharType="begin"/>
      </w:r>
      <w:r>
        <w:rPr>
          <w:rFonts w:hint="eastAsia"/>
        </w:rPr>
        <w:instrText xml:space="preserve"> </w:instrText>
      </w:r>
      <w:r>
        <w:instrText xml:space="preserve">PAGEREF _Toc225538166 \h</w:instrText>
      </w:r>
      <w:r>
        <w:rPr>
          <w:rFonts w:hint="eastAsia"/>
        </w:rPr>
        <w:instrText xml:space="preserve"> </w:instrText>
      </w:r>
      <w:r>
        <w:rPr>
          <w:rFonts w:hint="eastAsia"/>
        </w:rPr>
        <w:fldChar w:fldCharType="separate"/>
      </w:r>
      <w:r>
        <w:t>65</w:t>
      </w:r>
      <w:r>
        <w:rPr>
          <w:rFonts w:hint="eastAsia"/>
        </w:rPr>
        <w:fldChar w:fldCharType="end"/>
      </w:r>
      <w:r>
        <w:rPr>
          <w:rFonts w:hint="eastAsia"/>
        </w:rPr>
        <w:fldChar w:fldCharType="end"/>
      </w:r>
    </w:p>
    <w:p w14:paraId="74693FE6">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"_Toc225538167" </w:instrText>
      </w:r>
      <w:r>
        <w:fldChar w:fldCharType="separate"/>
      </w:r>
      <w:r>
        <w:rPr>
          <w:rStyle w:val="34"/>
          <w:rFonts w:hint="eastAsia" w:eastAsia="楷体_GB2312"/>
          <w:b/>
        </w:rPr>
        <w:t>19</w:t>
      </w:r>
      <w:r>
        <w:rPr>
          <w:rFonts w:hint="eastAsia" w:asciiTheme="minorHAnsi" w:hAnsiTheme="minorHAnsi" w:eastAsiaTheme="minorEastAsia" w:cstheme="minorBidi"/>
          <w:sz w:val="22"/>
          <w14:ligatures w14:val="standardContextual"/>
        </w:rPr>
        <w:tab/>
      </w:r>
      <w:r>
        <w:rPr>
          <w:rStyle w:val="34"/>
          <w:rFonts w:hint="eastAsia" w:eastAsia="楷体_GB2312"/>
          <w:b/>
        </w:rPr>
        <w:t>资产支持证券持有人大会</w:t>
      </w:r>
      <w:r>
        <w:rPr>
          <w:rFonts w:hint="eastAsia"/>
        </w:rPr>
        <w:tab/>
      </w:r>
      <w:r>
        <w:rPr>
          <w:rFonts w:hint="eastAsia"/>
        </w:rPr>
        <w:fldChar w:fldCharType="begin"/>
      </w:r>
      <w:r>
        <w:rPr>
          <w:rFonts w:hint="eastAsia"/>
        </w:rPr>
        <w:instrText xml:space="preserve"> </w:instrText>
      </w:r>
      <w:r>
        <w:instrText xml:space="preserve">PAGEREF _Toc225538167 \h</w:instrText>
      </w:r>
      <w:r>
        <w:rPr>
          <w:rFonts w:hint="eastAsia"/>
        </w:rPr>
        <w:instrText xml:space="preserve"> </w:instrText>
      </w:r>
      <w:r>
        <w:rPr>
          <w:rFonts w:hint="eastAsia"/>
        </w:rPr>
        <w:fldChar w:fldCharType="separate"/>
      </w:r>
      <w:r>
        <w:t>65</w:t>
      </w:r>
      <w:r>
        <w:rPr>
          <w:rFonts w:hint="eastAsia"/>
        </w:rPr>
        <w:fldChar w:fldCharType="end"/>
      </w:r>
      <w:r>
        <w:rPr>
          <w:rFonts w:hint="eastAsia"/>
        </w:rPr>
        <w:fldChar w:fldCharType="end"/>
      </w:r>
    </w:p>
    <w:p w14:paraId="04C558AA">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"_Toc225538168" </w:instrText>
      </w:r>
      <w:r>
        <w:fldChar w:fldCharType="separate"/>
      </w:r>
      <w:r>
        <w:rPr>
          <w:rStyle w:val="34"/>
          <w:rFonts w:hint="eastAsia" w:eastAsia="楷体_GB2312"/>
          <w:b/>
          <w:bCs/>
        </w:rPr>
        <w:t>20</w:t>
      </w:r>
      <w:r>
        <w:rPr>
          <w:rFonts w:hint="eastAsia" w:asciiTheme="minorHAnsi" w:hAnsiTheme="minorHAnsi" w:eastAsiaTheme="minorEastAsia" w:cstheme="minorBidi"/>
          <w:sz w:val="22"/>
          <w14:ligatures w14:val="standardContextual"/>
        </w:rPr>
        <w:tab/>
      </w:r>
      <w:r>
        <w:rPr>
          <w:rStyle w:val="34"/>
          <w:rFonts w:hint="eastAsia" w:eastAsia="楷体_GB2312"/>
          <w:b/>
        </w:rPr>
        <w:t>赔偿和免责</w:t>
      </w:r>
      <w:r>
        <w:rPr>
          <w:rFonts w:hint="eastAsia"/>
        </w:rPr>
        <w:tab/>
      </w:r>
      <w:r>
        <w:rPr>
          <w:rFonts w:hint="eastAsia"/>
        </w:rPr>
        <w:fldChar w:fldCharType="begin"/>
      </w:r>
      <w:r>
        <w:rPr>
          <w:rFonts w:hint="eastAsia"/>
        </w:rPr>
        <w:instrText xml:space="preserve"> </w:instrText>
      </w:r>
      <w:r>
        <w:instrText xml:space="preserve">PAGEREF _Toc225538168 \h</w:instrText>
      </w:r>
      <w:r>
        <w:rPr>
          <w:rFonts w:hint="eastAsia"/>
        </w:rPr>
        <w:instrText xml:space="preserve"> </w:instrText>
      </w:r>
      <w:r>
        <w:rPr>
          <w:rFonts w:hint="eastAsia"/>
        </w:rPr>
        <w:fldChar w:fldCharType="separate"/>
      </w:r>
      <w:r>
        <w:t>70</w:t>
      </w:r>
      <w:r>
        <w:rPr>
          <w:rFonts w:hint="eastAsia"/>
        </w:rPr>
        <w:fldChar w:fldCharType="end"/>
      </w:r>
      <w:r>
        <w:rPr>
          <w:rFonts w:hint="eastAsia"/>
        </w:rPr>
        <w:fldChar w:fldCharType="end"/>
      </w:r>
    </w:p>
    <w:p w14:paraId="21E719D9">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"_Toc225538169" </w:instrText>
      </w:r>
      <w:r>
        <w:fldChar w:fldCharType="separate"/>
      </w:r>
      <w:r>
        <w:rPr>
          <w:rStyle w:val="34"/>
          <w:rFonts w:hint="eastAsia" w:eastAsia="楷体_GB2312"/>
          <w:b/>
        </w:rPr>
        <w:t>21</w:t>
      </w:r>
      <w:r>
        <w:rPr>
          <w:rFonts w:hint="eastAsia" w:asciiTheme="minorHAnsi" w:hAnsiTheme="minorHAnsi" w:eastAsiaTheme="minorEastAsia" w:cstheme="minorBidi"/>
          <w:sz w:val="22"/>
          <w14:ligatures w14:val="standardContextual"/>
        </w:rPr>
        <w:tab/>
      </w:r>
      <w:r>
        <w:rPr>
          <w:rStyle w:val="34"/>
          <w:rFonts w:hint="eastAsia" w:eastAsia="楷体_GB2312"/>
          <w:b/>
        </w:rPr>
        <w:t>信息披露</w:t>
      </w:r>
      <w:r>
        <w:rPr>
          <w:rFonts w:hint="eastAsia"/>
        </w:rPr>
        <w:tab/>
      </w:r>
      <w:r>
        <w:rPr>
          <w:rFonts w:hint="eastAsia"/>
        </w:rPr>
        <w:fldChar w:fldCharType="begin"/>
      </w:r>
      <w:r>
        <w:rPr>
          <w:rFonts w:hint="eastAsia"/>
        </w:rPr>
        <w:instrText xml:space="preserve"> </w:instrText>
      </w:r>
      <w:r>
        <w:instrText xml:space="preserve">PAGEREF _Toc225538169 \h</w:instrText>
      </w:r>
      <w:r>
        <w:rPr>
          <w:rFonts w:hint="eastAsia"/>
        </w:rPr>
        <w:instrText xml:space="preserve"> </w:instrText>
      </w:r>
      <w:r>
        <w:rPr>
          <w:rFonts w:hint="eastAsia"/>
        </w:rPr>
        <w:fldChar w:fldCharType="separate"/>
      </w:r>
      <w:r>
        <w:t>72</w:t>
      </w:r>
      <w:r>
        <w:rPr>
          <w:rFonts w:hint="eastAsia"/>
        </w:rPr>
        <w:fldChar w:fldCharType="end"/>
      </w:r>
      <w:r>
        <w:rPr>
          <w:rFonts w:hint="eastAsia"/>
        </w:rPr>
        <w:fldChar w:fldCharType="end"/>
      </w:r>
    </w:p>
    <w:p w14:paraId="39D75420">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"_Toc225538170" </w:instrText>
      </w:r>
      <w:r>
        <w:fldChar w:fldCharType="separate"/>
      </w:r>
      <w:r>
        <w:rPr>
          <w:rStyle w:val="34"/>
          <w:rFonts w:hint="eastAsia" w:eastAsia="楷体_GB2312"/>
          <w:b/>
        </w:rPr>
        <w:t>22</w:t>
      </w:r>
      <w:r>
        <w:rPr>
          <w:rFonts w:hint="eastAsia" w:asciiTheme="minorHAnsi" w:hAnsiTheme="minorHAnsi" w:eastAsiaTheme="minorEastAsia" w:cstheme="minorBidi"/>
          <w:sz w:val="22"/>
          <w14:ligatures w14:val="standardContextual"/>
        </w:rPr>
        <w:tab/>
      </w:r>
      <w:r>
        <w:rPr>
          <w:rStyle w:val="34"/>
          <w:rFonts w:hint="eastAsia" w:eastAsia="楷体_GB2312"/>
          <w:b/>
        </w:rPr>
        <w:t>保密条款</w:t>
      </w:r>
      <w:r>
        <w:rPr>
          <w:rFonts w:hint="eastAsia"/>
        </w:rPr>
        <w:tab/>
      </w:r>
      <w:r>
        <w:rPr>
          <w:rFonts w:hint="eastAsia"/>
        </w:rPr>
        <w:fldChar w:fldCharType="begin"/>
      </w:r>
      <w:r>
        <w:rPr>
          <w:rFonts w:hint="eastAsia"/>
        </w:rPr>
        <w:instrText xml:space="preserve"> </w:instrText>
      </w:r>
      <w:r>
        <w:instrText xml:space="preserve">PAGEREF _Toc225538170 \h</w:instrText>
      </w:r>
      <w:r>
        <w:rPr>
          <w:rFonts w:hint="eastAsia"/>
        </w:rPr>
        <w:instrText xml:space="preserve"> </w:instrText>
      </w:r>
      <w:r>
        <w:rPr>
          <w:rFonts w:hint="eastAsia"/>
        </w:rPr>
        <w:fldChar w:fldCharType="separate"/>
      </w:r>
      <w:r>
        <w:t>73</w:t>
      </w:r>
      <w:r>
        <w:rPr>
          <w:rFonts w:hint="eastAsia"/>
        </w:rPr>
        <w:fldChar w:fldCharType="end"/>
      </w:r>
      <w:r>
        <w:rPr>
          <w:rFonts w:hint="eastAsia"/>
        </w:rPr>
        <w:fldChar w:fldCharType="end"/>
      </w:r>
    </w:p>
    <w:p w14:paraId="14C3359B">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"_Toc225538171" </w:instrText>
      </w:r>
      <w:r>
        <w:fldChar w:fldCharType="separate"/>
      </w:r>
      <w:r>
        <w:rPr>
          <w:rStyle w:val="34"/>
          <w:rFonts w:hint="eastAsia" w:eastAsia="楷体_GB2312"/>
          <w:b/>
        </w:rPr>
        <w:t>23</w:t>
      </w:r>
      <w:r>
        <w:rPr>
          <w:rFonts w:hint="eastAsia" w:asciiTheme="minorHAnsi" w:hAnsiTheme="minorHAnsi" w:eastAsiaTheme="minorEastAsia" w:cstheme="minorBidi"/>
          <w:sz w:val="22"/>
          <w14:ligatures w14:val="standardContextual"/>
        </w:rPr>
        <w:tab/>
      </w:r>
      <w:r>
        <w:rPr>
          <w:rStyle w:val="34"/>
          <w:rFonts w:hint="eastAsia" w:eastAsia="楷体_GB2312"/>
          <w:b/>
        </w:rPr>
        <w:t>不可抗力</w:t>
      </w:r>
      <w:r>
        <w:rPr>
          <w:rFonts w:hint="eastAsia"/>
        </w:rPr>
        <w:tab/>
      </w:r>
      <w:r>
        <w:rPr>
          <w:rFonts w:hint="eastAsia"/>
        </w:rPr>
        <w:fldChar w:fldCharType="begin"/>
      </w:r>
      <w:r>
        <w:rPr>
          <w:rFonts w:hint="eastAsia"/>
        </w:rPr>
        <w:instrText xml:space="preserve"> </w:instrText>
      </w:r>
      <w:r>
        <w:instrText xml:space="preserve">PAGEREF _Toc225538171 \h</w:instrText>
      </w:r>
      <w:r>
        <w:rPr>
          <w:rFonts w:hint="eastAsia"/>
        </w:rPr>
        <w:instrText xml:space="preserve"> </w:instrText>
      </w:r>
      <w:r>
        <w:rPr>
          <w:rFonts w:hint="eastAsia"/>
        </w:rPr>
        <w:fldChar w:fldCharType="separate"/>
      </w:r>
      <w:r>
        <w:t>75</w:t>
      </w:r>
      <w:r>
        <w:rPr>
          <w:rFonts w:hint="eastAsia"/>
        </w:rPr>
        <w:fldChar w:fldCharType="end"/>
      </w:r>
      <w:r>
        <w:rPr>
          <w:rFonts w:hint="eastAsia"/>
        </w:rPr>
        <w:fldChar w:fldCharType="end"/>
      </w:r>
    </w:p>
    <w:p w14:paraId="1FEC36F4">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"_Toc225538172" </w:instrText>
      </w:r>
      <w:r>
        <w:fldChar w:fldCharType="separate"/>
      </w:r>
      <w:r>
        <w:rPr>
          <w:rStyle w:val="34"/>
          <w:rFonts w:hint="eastAsia" w:eastAsia="楷体_GB2312"/>
          <w:b/>
        </w:rPr>
        <w:t>24</w:t>
      </w:r>
      <w:r>
        <w:rPr>
          <w:rFonts w:hint="eastAsia" w:asciiTheme="minorHAnsi" w:hAnsiTheme="minorHAnsi" w:eastAsiaTheme="minorEastAsia" w:cstheme="minorBidi"/>
          <w:sz w:val="22"/>
          <w14:ligatures w14:val="standardContextual"/>
        </w:rPr>
        <w:tab/>
      </w:r>
      <w:r>
        <w:rPr>
          <w:rStyle w:val="34"/>
          <w:rFonts w:hint="eastAsia" w:eastAsia="楷体_GB2312"/>
          <w:b/>
        </w:rPr>
        <w:t>法律适用和争议解决</w:t>
      </w:r>
      <w:r>
        <w:rPr>
          <w:rFonts w:hint="eastAsia"/>
        </w:rPr>
        <w:tab/>
      </w:r>
      <w:r>
        <w:rPr>
          <w:rFonts w:hint="eastAsia"/>
        </w:rPr>
        <w:fldChar w:fldCharType="begin"/>
      </w:r>
      <w:r>
        <w:rPr>
          <w:rFonts w:hint="eastAsia"/>
        </w:rPr>
        <w:instrText xml:space="preserve"> </w:instrText>
      </w:r>
      <w:r>
        <w:instrText xml:space="preserve">PAGEREF _Toc225538172 \h</w:instrText>
      </w:r>
      <w:r>
        <w:rPr>
          <w:rFonts w:hint="eastAsia"/>
        </w:rPr>
        <w:instrText xml:space="preserve"> </w:instrText>
      </w:r>
      <w:r>
        <w:rPr>
          <w:rFonts w:hint="eastAsia"/>
        </w:rPr>
        <w:fldChar w:fldCharType="separate"/>
      </w:r>
      <w:r>
        <w:t>75</w:t>
      </w:r>
      <w:r>
        <w:rPr>
          <w:rFonts w:hint="eastAsia"/>
        </w:rPr>
        <w:fldChar w:fldCharType="end"/>
      </w:r>
      <w:r>
        <w:rPr>
          <w:rFonts w:hint="eastAsia"/>
        </w:rPr>
        <w:fldChar w:fldCharType="end"/>
      </w:r>
    </w:p>
    <w:p w14:paraId="4404F898">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"_Toc225538173" </w:instrText>
      </w:r>
      <w:r>
        <w:fldChar w:fldCharType="separate"/>
      </w:r>
      <w:r>
        <w:rPr>
          <w:rStyle w:val="34"/>
          <w:rFonts w:hint="eastAsia" w:eastAsia="楷体_GB2312"/>
          <w:b/>
        </w:rPr>
        <w:t>25</w:t>
      </w:r>
      <w:r>
        <w:rPr>
          <w:rFonts w:hint="eastAsia" w:asciiTheme="minorHAnsi" w:hAnsiTheme="minorHAnsi" w:eastAsiaTheme="minorEastAsia" w:cstheme="minorBidi"/>
          <w:sz w:val="22"/>
          <w14:ligatures w14:val="standardContextual"/>
        </w:rPr>
        <w:tab/>
      </w:r>
      <w:r>
        <w:rPr>
          <w:rStyle w:val="34"/>
          <w:rFonts w:hint="eastAsia" w:eastAsia="楷体_GB2312"/>
          <w:b/>
        </w:rPr>
        <w:t>有限追索和诉讼禁止</w:t>
      </w:r>
      <w:r>
        <w:rPr>
          <w:rFonts w:hint="eastAsia"/>
        </w:rPr>
        <w:tab/>
      </w:r>
      <w:r>
        <w:rPr>
          <w:rFonts w:hint="eastAsia"/>
        </w:rPr>
        <w:fldChar w:fldCharType="begin"/>
      </w:r>
      <w:r>
        <w:rPr>
          <w:rFonts w:hint="eastAsia"/>
        </w:rPr>
        <w:instrText xml:space="preserve"> </w:instrText>
      </w:r>
      <w:r>
        <w:instrText xml:space="preserve">PAGEREF _Toc225538173 \h</w:instrText>
      </w:r>
      <w:r>
        <w:rPr>
          <w:rFonts w:hint="eastAsia"/>
        </w:rPr>
        <w:instrText xml:space="preserve"> </w:instrText>
      </w:r>
      <w:r>
        <w:rPr>
          <w:rFonts w:hint="eastAsia"/>
        </w:rPr>
        <w:fldChar w:fldCharType="separate"/>
      </w:r>
      <w:r>
        <w:t>76</w:t>
      </w:r>
      <w:r>
        <w:rPr>
          <w:rFonts w:hint="eastAsia"/>
        </w:rPr>
        <w:fldChar w:fldCharType="end"/>
      </w:r>
      <w:r>
        <w:rPr>
          <w:rFonts w:hint="eastAsia"/>
        </w:rPr>
        <w:fldChar w:fldCharType="end"/>
      </w:r>
    </w:p>
    <w:p w14:paraId="0DC1C3C7">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"_Toc225538174" </w:instrText>
      </w:r>
      <w:r>
        <w:fldChar w:fldCharType="separate"/>
      </w:r>
      <w:r>
        <w:rPr>
          <w:rStyle w:val="34"/>
          <w:rFonts w:hint="eastAsia" w:eastAsia="楷体_GB2312"/>
          <w:b/>
        </w:rPr>
        <w:t>26</w:t>
      </w:r>
      <w:r>
        <w:rPr>
          <w:rFonts w:hint="eastAsia" w:asciiTheme="minorHAnsi" w:hAnsiTheme="minorHAnsi" w:eastAsiaTheme="minorEastAsia" w:cstheme="minorBidi"/>
          <w:sz w:val="22"/>
          <w14:ligatures w14:val="standardContextual"/>
        </w:rPr>
        <w:tab/>
      </w:r>
      <w:r>
        <w:rPr>
          <w:rStyle w:val="34"/>
          <w:rFonts w:hint="eastAsia" w:eastAsia="楷体_GB2312"/>
          <w:b/>
        </w:rPr>
        <w:t>合同的转让</w:t>
      </w:r>
      <w:r>
        <w:rPr>
          <w:rFonts w:hint="eastAsia"/>
        </w:rPr>
        <w:tab/>
      </w:r>
      <w:r>
        <w:rPr>
          <w:rFonts w:hint="eastAsia"/>
        </w:rPr>
        <w:fldChar w:fldCharType="begin"/>
      </w:r>
      <w:r>
        <w:rPr>
          <w:rFonts w:hint="eastAsia"/>
        </w:rPr>
        <w:instrText xml:space="preserve"> </w:instrText>
      </w:r>
      <w:r>
        <w:instrText xml:space="preserve">PAGEREF _Toc225538174 \h</w:instrText>
      </w:r>
      <w:r>
        <w:rPr>
          <w:rFonts w:hint="eastAsia"/>
        </w:rPr>
        <w:instrText xml:space="preserve"> </w:instrText>
      </w:r>
      <w:r>
        <w:rPr>
          <w:rFonts w:hint="eastAsia"/>
        </w:rPr>
        <w:fldChar w:fldCharType="separate"/>
      </w:r>
      <w:r>
        <w:t>76</w:t>
      </w:r>
      <w:r>
        <w:rPr>
          <w:rFonts w:hint="eastAsia"/>
        </w:rPr>
        <w:fldChar w:fldCharType="end"/>
      </w:r>
      <w:r>
        <w:rPr>
          <w:rFonts w:hint="eastAsia"/>
        </w:rPr>
        <w:fldChar w:fldCharType="end"/>
      </w:r>
    </w:p>
    <w:p w14:paraId="5D8053A0">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"_Toc225538175"</w:instrText>
      </w:r>
      <w:r>
        <w:fldChar w:fldCharType="separate"/>
      </w:r>
      <w:r>
        <w:rPr>
          <w:rStyle w:val="34"/>
          <w:rFonts w:hint="eastAsia" w:eastAsia="楷体_GB2312"/>
          <w:b/>
        </w:rPr>
        <w:t>27</w:t>
      </w:r>
      <w:r>
        <w:rPr>
          <w:rFonts w:hint="eastAsia" w:asciiTheme="minorHAnsi" w:hAnsiTheme="minorHAnsi" w:eastAsiaTheme="minorEastAsia" w:cstheme="minorBidi"/>
          <w:sz w:val="22"/>
          <w14:ligatures w14:val="standardContextual"/>
        </w:rPr>
        <w:tab/>
      </w:r>
      <w:r>
        <w:rPr>
          <w:rStyle w:val="34"/>
          <w:rFonts w:hint="eastAsia" w:eastAsia="楷体_GB2312"/>
          <w:b/>
        </w:rPr>
        <w:t>通知和送达</w:t>
      </w:r>
      <w:r>
        <w:rPr>
          <w:rFonts w:hint="eastAsia"/>
        </w:rPr>
        <w:tab/>
      </w:r>
      <w:r>
        <w:rPr>
          <w:rFonts w:hint="eastAsia"/>
        </w:rPr>
        <w:fldChar w:fldCharType="begin"/>
      </w:r>
      <w:r>
        <w:rPr>
          <w:rFonts w:hint="eastAsia"/>
        </w:rPr>
        <w:instrText xml:space="preserve"> </w:instrText>
      </w:r>
      <w:r>
        <w:instrText xml:space="preserve">PAGEREF _Toc225538175 \h</w:instrText>
      </w:r>
      <w:r>
        <w:rPr>
          <w:rFonts w:hint="eastAsia"/>
        </w:rPr>
        <w:instrText xml:space="preserve"> </w:instrText>
      </w:r>
      <w:r>
        <w:rPr>
          <w:rFonts w:hint="eastAsia"/>
        </w:rPr>
        <w:fldChar w:fldCharType="separate"/>
      </w:r>
      <w:r>
        <w:t>77</w:t>
      </w:r>
      <w:r>
        <w:rPr>
          <w:rFonts w:hint="eastAsia"/>
        </w:rPr>
        <w:fldChar w:fldCharType="end"/>
      </w:r>
      <w:r>
        <w:fldChar w:fldCharType="end"/>
      </w:r>
    </w:p>
    <w:p w14:paraId="1F151305">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"_Toc225538176" </w:instrText>
      </w:r>
      <w:r>
        <w:fldChar w:fldCharType="separate"/>
      </w:r>
      <w:r>
        <w:rPr>
          <w:rStyle w:val="34"/>
          <w:rFonts w:hint="eastAsia" w:eastAsia="楷体_GB2312"/>
          <w:b/>
        </w:rPr>
        <w:t>28</w:t>
      </w:r>
      <w:r>
        <w:rPr>
          <w:rFonts w:hint="eastAsia" w:asciiTheme="minorHAnsi" w:hAnsiTheme="minorHAnsi" w:eastAsiaTheme="minorEastAsia" w:cstheme="minorBidi"/>
          <w:sz w:val="22"/>
          <w14:ligatures w14:val="standardContextual"/>
        </w:rPr>
        <w:tab/>
      </w:r>
      <w:r>
        <w:rPr>
          <w:rStyle w:val="34"/>
          <w:rFonts w:hint="eastAsia" w:eastAsia="楷体_GB2312"/>
          <w:b/>
        </w:rPr>
        <w:t>修改和弃权</w:t>
      </w:r>
      <w:r>
        <w:rPr>
          <w:rFonts w:hint="eastAsia"/>
        </w:rPr>
        <w:tab/>
      </w:r>
      <w:r>
        <w:rPr>
          <w:rFonts w:hint="eastAsia"/>
        </w:rPr>
        <w:fldChar w:fldCharType="begin"/>
      </w:r>
      <w:r>
        <w:rPr>
          <w:rFonts w:hint="eastAsia"/>
        </w:rPr>
        <w:instrText xml:space="preserve"> </w:instrText>
      </w:r>
      <w:r>
        <w:instrText xml:space="preserve">PAGEREF _Toc225538176 \h</w:instrText>
      </w:r>
      <w:r>
        <w:rPr>
          <w:rFonts w:hint="eastAsia"/>
        </w:rPr>
        <w:instrText xml:space="preserve"> </w:instrText>
      </w:r>
      <w:r>
        <w:rPr>
          <w:rFonts w:hint="eastAsia"/>
        </w:rPr>
        <w:fldChar w:fldCharType="separate"/>
      </w:r>
      <w:r>
        <w:t>78</w:t>
      </w:r>
      <w:r>
        <w:rPr>
          <w:rFonts w:hint="eastAsia"/>
        </w:rPr>
        <w:fldChar w:fldCharType="end"/>
      </w:r>
      <w:r>
        <w:rPr>
          <w:rFonts w:hint="eastAsia"/>
        </w:rPr>
        <w:fldChar w:fldCharType="end"/>
      </w:r>
    </w:p>
    <w:p w14:paraId="06875DE4">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"_Toc225538177" </w:instrText>
      </w:r>
      <w:r>
        <w:fldChar w:fldCharType="separate"/>
      </w:r>
      <w:r>
        <w:rPr>
          <w:rStyle w:val="34"/>
          <w:rFonts w:hint="eastAsia" w:eastAsia="楷体_GB2312"/>
          <w:b/>
        </w:rPr>
        <w:t>29</w:t>
      </w:r>
      <w:r>
        <w:rPr>
          <w:rFonts w:hint="eastAsia" w:asciiTheme="minorHAnsi" w:hAnsiTheme="minorHAnsi" w:eastAsiaTheme="minorEastAsia" w:cstheme="minorBidi"/>
          <w:sz w:val="22"/>
          <w14:ligatures w14:val="standardContextual"/>
        </w:rPr>
        <w:tab/>
      </w:r>
      <w:r>
        <w:rPr>
          <w:rStyle w:val="34"/>
          <w:rFonts w:hint="eastAsia" w:eastAsia="楷体_GB2312"/>
          <w:b/>
        </w:rPr>
        <w:t>条款的独立性</w:t>
      </w:r>
      <w:r>
        <w:rPr>
          <w:rFonts w:hint="eastAsia"/>
        </w:rPr>
        <w:tab/>
      </w:r>
      <w:r>
        <w:rPr>
          <w:rFonts w:hint="eastAsia"/>
        </w:rPr>
        <w:fldChar w:fldCharType="begin"/>
      </w:r>
      <w:r>
        <w:rPr>
          <w:rFonts w:hint="eastAsia"/>
        </w:rPr>
        <w:instrText xml:space="preserve"> </w:instrText>
      </w:r>
      <w:r>
        <w:instrText xml:space="preserve">PAGEREF _Toc225538177 \h</w:instrText>
      </w:r>
      <w:r>
        <w:rPr>
          <w:rFonts w:hint="eastAsia"/>
        </w:rPr>
        <w:instrText xml:space="preserve"> </w:instrText>
      </w:r>
      <w:r>
        <w:rPr>
          <w:rFonts w:hint="eastAsia"/>
        </w:rPr>
        <w:fldChar w:fldCharType="separate"/>
      </w:r>
      <w:r>
        <w:t>79</w:t>
      </w:r>
      <w:r>
        <w:rPr>
          <w:rFonts w:hint="eastAsia"/>
        </w:rPr>
        <w:fldChar w:fldCharType="end"/>
      </w:r>
      <w:r>
        <w:rPr>
          <w:rFonts w:hint="eastAsia"/>
        </w:rPr>
        <w:fldChar w:fldCharType="end"/>
      </w:r>
    </w:p>
    <w:p w14:paraId="1229BAB7">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"_Toc225538178" </w:instrText>
      </w:r>
      <w:r>
        <w:fldChar w:fldCharType="separate"/>
      </w:r>
      <w:r>
        <w:rPr>
          <w:rStyle w:val="34"/>
          <w:rFonts w:hint="eastAsia" w:eastAsia="楷体_GB2312"/>
          <w:b/>
        </w:rPr>
        <w:t>30</w:t>
      </w:r>
      <w:r>
        <w:rPr>
          <w:rFonts w:hint="eastAsia" w:asciiTheme="minorHAnsi" w:hAnsiTheme="minorHAnsi" w:eastAsiaTheme="minorEastAsia" w:cstheme="minorBidi"/>
          <w:sz w:val="22"/>
          <w14:ligatures w14:val="standardContextual"/>
        </w:rPr>
        <w:tab/>
      </w:r>
      <w:r>
        <w:rPr>
          <w:rStyle w:val="34"/>
          <w:rFonts w:hint="eastAsia" w:eastAsia="楷体_GB2312"/>
          <w:b/>
        </w:rPr>
        <w:t>合同的生效与终止</w:t>
      </w:r>
      <w:r>
        <w:rPr>
          <w:rFonts w:hint="eastAsia"/>
        </w:rPr>
        <w:tab/>
      </w:r>
      <w:r>
        <w:rPr>
          <w:rFonts w:hint="eastAsia"/>
        </w:rPr>
        <w:fldChar w:fldCharType="begin"/>
      </w:r>
      <w:r>
        <w:rPr>
          <w:rFonts w:hint="eastAsia"/>
        </w:rPr>
        <w:instrText xml:space="preserve"> </w:instrText>
      </w:r>
      <w:r>
        <w:instrText xml:space="preserve">PAGEREF _Toc225538178 \h</w:instrText>
      </w:r>
      <w:r>
        <w:rPr>
          <w:rFonts w:hint="eastAsia"/>
        </w:rPr>
        <w:instrText xml:space="preserve"> </w:instrText>
      </w:r>
      <w:r>
        <w:rPr>
          <w:rFonts w:hint="eastAsia"/>
        </w:rPr>
        <w:fldChar w:fldCharType="separate"/>
      </w:r>
      <w:r>
        <w:t>79</w:t>
      </w:r>
      <w:r>
        <w:rPr>
          <w:rFonts w:hint="eastAsia"/>
        </w:rPr>
        <w:fldChar w:fldCharType="end"/>
      </w:r>
      <w:r>
        <w:rPr>
          <w:rFonts w:hint="eastAsia"/>
        </w:rPr>
        <w:fldChar w:fldCharType="end"/>
      </w:r>
    </w:p>
    <w:p w14:paraId="65ECAB83">
      <w:pPr>
        <w:pStyle w:val="21"/>
        <w:rPr>
          <w:rFonts w:hint="eastAsia" w:asciiTheme="minorHAnsi" w:hAnsiTheme="minorHAnsi" w:eastAsiaTheme="minorEastAsia" w:cstheme="minorBidi"/>
          <w:sz w:val="22"/>
          <w14:ligatures w14:val="standardContextual"/>
        </w:rPr>
      </w:pPr>
      <w:r>
        <w:fldChar w:fldCharType="begin"/>
      </w:r>
      <w:r>
        <w:instrText xml:space="preserve"> HYPERLINK \l "_Toc225538179" </w:instrText>
      </w:r>
      <w:r>
        <w:fldChar w:fldCharType="separate"/>
      </w:r>
      <w:r>
        <w:rPr>
          <w:rStyle w:val="34"/>
          <w:rFonts w:hint="eastAsia" w:eastAsia="楷体_GB2312"/>
          <w:b/>
        </w:rPr>
        <w:t>31</w:t>
      </w:r>
      <w:r>
        <w:rPr>
          <w:rFonts w:hint="eastAsia" w:asciiTheme="minorHAnsi" w:hAnsiTheme="minorHAnsi" w:eastAsiaTheme="minorEastAsia" w:cstheme="minorBidi"/>
          <w:sz w:val="22"/>
          <w14:ligatures w14:val="standardContextual"/>
        </w:rPr>
        <w:tab/>
      </w:r>
      <w:r>
        <w:rPr>
          <w:rStyle w:val="34"/>
          <w:rFonts w:hint="eastAsia" w:eastAsia="楷体_GB2312"/>
          <w:b/>
        </w:rPr>
        <w:t>合同文本</w:t>
      </w:r>
      <w:r>
        <w:rPr>
          <w:rFonts w:hint="eastAsia"/>
        </w:rPr>
        <w:tab/>
      </w:r>
      <w:r>
        <w:rPr>
          <w:rFonts w:hint="eastAsia"/>
        </w:rPr>
        <w:fldChar w:fldCharType="begin"/>
      </w:r>
      <w:r>
        <w:rPr>
          <w:rFonts w:hint="eastAsia"/>
        </w:rPr>
        <w:instrText xml:space="preserve"> </w:instrText>
      </w:r>
      <w:r>
        <w:instrText xml:space="preserve">PAGEREF _Toc225538179 \h</w:instrText>
      </w:r>
      <w:r>
        <w:rPr>
          <w:rFonts w:hint="eastAsia"/>
        </w:rPr>
        <w:instrText xml:space="preserve"> </w:instrText>
      </w:r>
      <w:r>
        <w:rPr>
          <w:rFonts w:hint="eastAsia"/>
        </w:rPr>
        <w:fldChar w:fldCharType="separate"/>
      </w:r>
      <w:r>
        <w:t>79</w:t>
      </w:r>
      <w:r>
        <w:rPr>
          <w:rFonts w:hint="eastAsia"/>
        </w:rPr>
        <w:fldChar w:fldCharType="end"/>
      </w:r>
      <w:r>
        <w:rPr>
          <w:rFonts w:hint="eastAsia"/>
        </w:rPr>
        <w:fldChar w:fldCharType="end"/>
      </w:r>
    </w:p>
    <w:p w14:paraId="437CA0CC">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"_Toc225538180"</w:instrText>
      </w:r>
      <w:r>
        <w:fldChar w:fldCharType="separate"/>
      </w:r>
      <w:r>
        <w:rPr>
          <w:rStyle w:val="34"/>
          <w:rFonts w:hint="eastAsia" w:eastAsia="楷体_GB2312"/>
          <w:b/>
        </w:rPr>
        <w:t>附件一：资产清单格式</w:t>
      </w:r>
      <w:r>
        <w:rPr>
          <w:rFonts w:hint="eastAsia"/>
        </w:rPr>
        <w:tab/>
      </w:r>
      <w:r>
        <w:rPr>
          <w:rFonts w:hint="eastAsia"/>
        </w:rPr>
        <w:fldChar w:fldCharType="begin"/>
      </w:r>
      <w:r>
        <w:rPr>
          <w:rFonts w:hint="eastAsia"/>
        </w:rPr>
        <w:instrText xml:space="preserve"> </w:instrText>
      </w:r>
      <w:r>
        <w:instrText xml:space="preserve">PAGEREF _Toc225538180 \h</w:instrText>
      </w:r>
      <w:r>
        <w:rPr>
          <w:rFonts w:hint="eastAsia"/>
        </w:rPr>
        <w:instrText xml:space="preserve"> </w:instrText>
      </w:r>
      <w:r>
        <w:rPr>
          <w:rFonts w:hint="eastAsia"/>
        </w:rPr>
        <w:fldChar w:fldCharType="separate"/>
      </w:r>
      <w:r>
        <w:t>83</w:t>
      </w:r>
      <w:r>
        <w:rPr>
          <w:rFonts w:hint="eastAsia"/>
        </w:rPr>
        <w:fldChar w:fldCharType="end"/>
      </w:r>
      <w:r>
        <w:fldChar w:fldCharType="end"/>
      </w:r>
    </w:p>
    <w:p w14:paraId="1F3194A4">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"_Toc225538181"</w:instrText>
      </w:r>
      <w:r>
        <w:fldChar w:fldCharType="separate"/>
      </w:r>
      <w:r>
        <w:rPr>
          <w:rStyle w:val="34"/>
          <w:rFonts w:hint="eastAsia" w:eastAsia="楷体_GB2312"/>
          <w:b/>
        </w:rPr>
        <w:t>附件二：确认函格式</w:t>
      </w:r>
      <w:r>
        <w:rPr>
          <w:rFonts w:hint="eastAsia"/>
        </w:rPr>
        <w:tab/>
      </w:r>
      <w:r>
        <w:rPr>
          <w:rFonts w:hint="eastAsia"/>
        </w:rPr>
        <w:fldChar w:fldCharType="begin"/>
      </w:r>
      <w:r>
        <w:rPr>
          <w:rFonts w:hint="eastAsia"/>
        </w:rPr>
        <w:instrText xml:space="preserve"> </w:instrText>
      </w:r>
      <w:r>
        <w:instrText xml:space="preserve">PAGEREF _Toc225538181 \h</w:instrText>
      </w:r>
      <w:r>
        <w:rPr>
          <w:rFonts w:hint="eastAsia"/>
        </w:rPr>
        <w:instrText xml:space="preserve"> </w:instrText>
      </w:r>
      <w:r>
        <w:rPr>
          <w:rFonts w:hint="eastAsia"/>
        </w:rPr>
        <w:fldChar w:fldCharType="separate"/>
      </w:r>
      <w:r>
        <w:t>84</w:t>
      </w:r>
      <w:r>
        <w:rPr>
          <w:rFonts w:hint="eastAsia"/>
        </w:rPr>
        <w:fldChar w:fldCharType="end"/>
      </w:r>
      <w:r>
        <w:fldChar w:fldCharType="end"/>
      </w:r>
    </w:p>
    <w:p w14:paraId="4C202BF2">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"_Toc225538182"</w:instrText>
      </w:r>
      <w:r>
        <w:fldChar w:fldCharType="separate"/>
      </w:r>
      <w:r>
        <w:rPr>
          <w:rStyle w:val="34"/>
          <w:rFonts w:hint="eastAsia" w:eastAsia="楷体_GB2312"/>
          <w:b/>
        </w:rPr>
        <w:t>附件三：权利完善通知的格式</w:t>
      </w:r>
      <w:r>
        <w:rPr>
          <w:rFonts w:hint="eastAsia"/>
        </w:rPr>
        <w:tab/>
      </w:r>
      <w:r>
        <w:rPr>
          <w:rFonts w:hint="eastAsia"/>
        </w:rPr>
        <w:fldChar w:fldCharType="begin"/>
      </w:r>
      <w:r>
        <w:rPr>
          <w:rFonts w:hint="eastAsia"/>
        </w:rPr>
        <w:instrText xml:space="preserve"> </w:instrText>
      </w:r>
      <w:r>
        <w:instrText xml:space="preserve">PAGEREF _Toc225538182 \h</w:instrText>
      </w:r>
      <w:r>
        <w:rPr>
          <w:rFonts w:hint="eastAsia"/>
        </w:rPr>
        <w:instrText xml:space="preserve"> </w:instrText>
      </w:r>
      <w:r>
        <w:rPr>
          <w:rFonts w:hint="eastAsia"/>
        </w:rPr>
        <w:fldChar w:fldCharType="separate"/>
      </w:r>
      <w:r>
        <w:t>85</w:t>
      </w:r>
      <w:r>
        <w:rPr>
          <w:rFonts w:hint="eastAsia"/>
        </w:rPr>
        <w:fldChar w:fldCharType="end"/>
      </w:r>
      <w:r>
        <w:fldChar w:fldCharType="end"/>
      </w:r>
    </w:p>
    <w:p w14:paraId="0942D0FD">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"_Toc225538183"</w:instrText>
      </w:r>
      <w:r>
        <w:fldChar w:fldCharType="separate"/>
      </w:r>
      <w:r>
        <w:rPr>
          <w:rStyle w:val="34"/>
          <w:rFonts w:hint="eastAsia" w:eastAsia="楷体_GB2312"/>
          <w:b/>
        </w:rPr>
        <w:t>附件四：授权书的格式</w:t>
      </w:r>
      <w:r>
        <w:rPr>
          <w:rFonts w:hint="eastAsia"/>
        </w:rPr>
        <w:tab/>
      </w:r>
      <w:r>
        <w:rPr>
          <w:rFonts w:hint="eastAsia"/>
        </w:rPr>
        <w:fldChar w:fldCharType="begin"/>
      </w:r>
      <w:r>
        <w:rPr>
          <w:rFonts w:hint="eastAsia"/>
        </w:rPr>
        <w:instrText xml:space="preserve"> </w:instrText>
      </w:r>
      <w:r>
        <w:instrText xml:space="preserve">PAGEREF _Toc225538183 \h</w:instrText>
      </w:r>
      <w:r>
        <w:rPr>
          <w:rFonts w:hint="eastAsia"/>
        </w:rPr>
        <w:instrText xml:space="preserve"> </w:instrText>
      </w:r>
      <w:r>
        <w:rPr>
          <w:rFonts w:hint="eastAsia"/>
        </w:rPr>
        <w:fldChar w:fldCharType="separate"/>
      </w:r>
      <w:r>
        <w:t>89</w:t>
      </w:r>
      <w:r>
        <w:rPr>
          <w:rFonts w:hint="eastAsia"/>
        </w:rPr>
        <w:fldChar w:fldCharType="end"/>
      </w:r>
      <w:r>
        <w:fldChar w:fldCharType="end"/>
      </w:r>
    </w:p>
    <w:p w14:paraId="635826DE">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"_Toc225538184"</w:instrText>
      </w:r>
      <w:r>
        <w:fldChar w:fldCharType="separate"/>
      </w:r>
      <w:r>
        <w:rPr>
          <w:rStyle w:val="34"/>
          <w:rFonts w:hint="eastAsia" w:eastAsia="楷体_GB2312"/>
          <w:b/>
        </w:rPr>
        <w:t>附件五：资产支持证券本金还款金额计算方式</w:t>
      </w:r>
      <w:r>
        <w:rPr>
          <w:rFonts w:hint="eastAsia"/>
        </w:rPr>
        <w:tab/>
      </w:r>
      <w:r>
        <w:rPr>
          <w:rFonts w:hint="eastAsia"/>
        </w:rPr>
        <w:fldChar w:fldCharType="begin"/>
      </w:r>
      <w:r>
        <w:rPr>
          <w:rFonts w:hint="eastAsia"/>
        </w:rPr>
        <w:instrText xml:space="preserve"> </w:instrText>
      </w:r>
      <w:r>
        <w:instrText xml:space="preserve">PAGEREF _Toc225538184 \h</w:instrText>
      </w:r>
      <w:r>
        <w:rPr>
          <w:rFonts w:hint="eastAsia"/>
        </w:rPr>
        <w:instrText xml:space="preserve"> </w:instrText>
      </w:r>
      <w:r>
        <w:rPr>
          <w:rFonts w:hint="eastAsia"/>
        </w:rPr>
        <w:fldChar w:fldCharType="separate"/>
      </w:r>
      <w:r>
        <w:t>90</w:t>
      </w:r>
      <w:r>
        <w:rPr>
          <w:rFonts w:hint="eastAsia"/>
        </w:rPr>
        <w:fldChar w:fldCharType="end"/>
      </w:r>
      <w:r>
        <w:fldChar w:fldCharType="end"/>
      </w:r>
    </w:p>
    <w:p w14:paraId="47D7EBE3">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"_Toc225538185"</w:instrText>
      </w:r>
      <w:r>
        <w:fldChar w:fldCharType="separate"/>
      </w:r>
      <w:r>
        <w:rPr>
          <w:rStyle w:val="34"/>
          <w:rFonts w:hint="eastAsia" w:eastAsia="楷体_GB2312"/>
          <w:b/>
        </w:rPr>
        <w:t>附件六：清仓回购通知书格式</w:t>
      </w:r>
      <w:r>
        <w:rPr>
          <w:rFonts w:hint="eastAsia"/>
        </w:rPr>
        <w:tab/>
      </w:r>
      <w:r>
        <w:rPr>
          <w:rFonts w:hint="eastAsia"/>
        </w:rPr>
        <w:fldChar w:fldCharType="begin"/>
      </w:r>
      <w:r>
        <w:rPr>
          <w:rFonts w:hint="eastAsia"/>
        </w:rPr>
        <w:instrText xml:space="preserve"> </w:instrText>
      </w:r>
      <w:r>
        <w:instrText xml:space="preserve">PAGEREF _Toc225538185 \h</w:instrText>
      </w:r>
      <w:r>
        <w:rPr>
          <w:rFonts w:hint="eastAsia"/>
        </w:rPr>
        <w:instrText xml:space="preserve"> </w:instrText>
      </w:r>
      <w:r>
        <w:rPr>
          <w:rFonts w:hint="eastAsia"/>
        </w:rPr>
        <w:fldChar w:fldCharType="separate"/>
      </w:r>
      <w:r>
        <w:t>92</w:t>
      </w:r>
      <w:r>
        <w:rPr>
          <w:rFonts w:hint="eastAsia"/>
        </w:rPr>
        <w:fldChar w:fldCharType="end"/>
      </w:r>
      <w:r>
        <w:fldChar w:fldCharType="end"/>
      </w:r>
    </w:p>
    <w:p w14:paraId="41814A1E">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"_Toc225538186"</w:instrText>
      </w:r>
      <w:r>
        <w:fldChar w:fldCharType="separate"/>
      </w:r>
      <w:r>
        <w:rPr>
          <w:rStyle w:val="34"/>
          <w:rFonts w:hint="eastAsia" w:eastAsia="楷体_GB2312"/>
          <w:b/>
        </w:rPr>
        <w:t>附件七：清仓回购要约通知书格式</w:t>
      </w:r>
      <w:r>
        <w:rPr>
          <w:rFonts w:hint="eastAsia"/>
        </w:rPr>
        <w:tab/>
      </w:r>
      <w:r>
        <w:rPr>
          <w:rFonts w:hint="eastAsia"/>
        </w:rPr>
        <w:fldChar w:fldCharType="begin"/>
      </w:r>
      <w:r>
        <w:rPr>
          <w:rFonts w:hint="eastAsia"/>
        </w:rPr>
        <w:instrText xml:space="preserve"> </w:instrText>
      </w:r>
      <w:r>
        <w:instrText xml:space="preserve">PAGEREF _Toc225538186 \h</w:instrText>
      </w:r>
      <w:r>
        <w:rPr>
          <w:rFonts w:hint="eastAsia"/>
        </w:rPr>
        <w:instrText xml:space="preserve"> </w:instrText>
      </w:r>
      <w:r>
        <w:rPr>
          <w:rFonts w:hint="eastAsia"/>
        </w:rPr>
        <w:fldChar w:fldCharType="separate"/>
      </w:r>
      <w:r>
        <w:t>93</w:t>
      </w:r>
      <w:r>
        <w:rPr>
          <w:rFonts w:hint="eastAsia"/>
        </w:rPr>
        <w:fldChar w:fldCharType="end"/>
      </w:r>
      <w:r>
        <w:fldChar w:fldCharType="end"/>
      </w:r>
    </w:p>
    <w:p w14:paraId="180534E5">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"_Toc225538187"</w:instrText>
      </w:r>
      <w:r>
        <w:fldChar w:fldCharType="separate"/>
      </w:r>
      <w:r>
        <w:rPr>
          <w:rStyle w:val="34"/>
          <w:rFonts w:hint="eastAsia" w:eastAsia="楷体_GB2312"/>
          <w:b/>
        </w:rPr>
        <w:t>附件八：清仓回购承诺通知书格式</w:t>
      </w:r>
      <w:r>
        <w:rPr>
          <w:rFonts w:hint="eastAsia"/>
        </w:rPr>
        <w:tab/>
      </w:r>
      <w:r>
        <w:rPr>
          <w:rFonts w:hint="eastAsia"/>
        </w:rPr>
        <w:fldChar w:fldCharType="begin"/>
      </w:r>
      <w:r>
        <w:rPr>
          <w:rFonts w:hint="eastAsia"/>
        </w:rPr>
        <w:instrText xml:space="preserve"> </w:instrText>
      </w:r>
      <w:r>
        <w:instrText xml:space="preserve">PAGEREF _Toc225538187 \h</w:instrText>
      </w:r>
      <w:r>
        <w:rPr>
          <w:rFonts w:hint="eastAsia"/>
        </w:rPr>
        <w:instrText xml:space="preserve"> </w:instrText>
      </w:r>
      <w:r>
        <w:rPr>
          <w:rFonts w:hint="eastAsia"/>
        </w:rPr>
        <w:fldChar w:fldCharType="separate"/>
      </w:r>
      <w:r>
        <w:t>94</w:t>
      </w:r>
      <w:r>
        <w:rPr>
          <w:rFonts w:hint="eastAsia"/>
        </w:rPr>
        <w:fldChar w:fldCharType="end"/>
      </w:r>
      <w:r>
        <w:fldChar w:fldCharType="end"/>
      </w:r>
    </w:p>
    <w:p w14:paraId="1ACB006C">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"_Toc225538188"</w:instrText>
      </w:r>
      <w:r>
        <w:fldChar w:fldCharType="separate"/>
      </w:r>
      <w:r>
        <w:rPr>
          <w:rStyle w:val="34"/>
          <w:rFonts w:hint="eastAsia" w:eastAsia="楷体_GB2312"/>
          <w:b/>
        </w:rPr>
        <w:t>附件九：信托会计处理的原则和方式</w:t>
      </w:r>
      <w:r>
        <w:rPr>
          <w:rFonts w:hint="eastAsia"/>
        </w:rPr>
        <w:tab/>
      </w:r>
      <w:r>
        <w:rPr>
          <w:rFonts w:hint="eastAsia"/>
        </w:rPr>
        <w:fldChar w:fldCharType="begin"/>
      </w:r>
      <w:r>
        <w:rPr>
          <w:rFonts w:hint="eastAsia"/>
        </w:rPr>
        <w:instrText xml:space="preserve"> </w:instrText>
      </w:r>
      <w:r>
        <w:instrText xml:space="preserve">PAGEREF _Toc225538188 \h</w:instrText>
      </w:r>
      <w:r>
        <w:rPr>
          <w:rFonts w:hint="eastAsia"/>
        </w:rPr>
        <w:instrText xml:space="preserve"> </w:instrText>
      </w:r>
      <w:r>
        <w:rPr>
          <w:rFonts w:hint="eastAsia"/>
        </w:rPr>
        <w:fldChar w:fldCharType="separate"/>
      </w:r>
      <w:r>
        <w:t>95</w:t>
      </w:r>
      <w:r>
        <w:rPr>
          <w:rFonts w:hint="eastAsia"/>
        </w:rPr>
        <w:fldChar w:fldCharType="end"/>
      </w:r>
      <w:r>
        <w:fldChar w:fldCharType="end"/>
      </w:r>
    </w:p>
    <w:p w14:paraId="78DBF0CB">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"_Toc225538189"</w:instrText>
      </w:r>
      <w:r>
        <w:fldChar w:fldCharType="separate"/>
      </w:r>
      <w:r>
        <w:rPr>
          <w:rStyle w:val="34"/>
          <w:rFonts w:hint="eastAsia" w:eastAsia="楷体_GB2312"/>
          <w:b/>
        </w:rPr>
        <w:t>附件十：期间/年度受托机构报告参考格式</w:t>
      </w:r>
      <w:r>
        <w:rPr>
          <w:rFonts w:hint="eastAsia"/>
        </w:rPr>
        <w:tab/>
      </w:r>
      <w:r>
        <w:rPr>
          <w:rFonts w:hint="eastAsia"/>
        </w:rPr>
        <w:fldChar w:fldCharType="begin"/>
      </w:r>
      <w:r>
        <w:rPr>
          <w:rFonts w:hint="eastAsia"/>
        </w:rPr>
        <w:instrText xml:space="preserve"> </w:instrText>
      </w:r>
      <w:r>
        <w:instrText xml:space="preserve">PAGEREF _Toc225538189 \h</w:instrText>
      </w:r>
      <w:r>
        <w:rPr>
          <w:rFonts w:hint="eastAsia"/>
        </w:rPr>
        <w:instrText xml:space="preserve"> </w:instrText>
      </w:r>
      <w:r>
        <w:rPr>
          <w:rFonts w:hint="eastAsia"/>
        </w:rPr>
        <w:fldChar w:fldCharType="separate"/>
      </w:r>
      <w:r>
        <w:t>97</w:t>
      </w:r>
      <w:r>
        <w:rPr>
          <w:rFonts w:hint="eastAsia"/>
        </w:rPr>
        <w:fldChar w:fldCharType="end"/>
      </w:r>
      <w:r>
        <w:fldChar w:fldCharType="end"/>
      </w:r>
    </w:p>
    <w:p w14:paraId="28B1997A">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"_Toc225538190"</w:instrText>
      </w:r>
      <w:r>
        <w:fldChar w:fldCharType="separate"/>
      </w:r>
      <w:r>
        <w:rPr>
          <w:rStyle w:val="34"/>
          <w:rFonts w:hint="eastAsia" w:eastAsia="楷体_GB2312"/>
          <w:b/>
        </w:rPr>
        <w:t>附件十一：重大事件报告书参考格式</w:t>
      </w:r>
      <w:r>
        <w:rPr>
          <w:rFonts w:hint="eastAsia"/>
        </w:rPr>
        <w:tab/>
      </w:r>
      <w:r>
        <w:rPr>
          <w:rFonts w:hint="eastAsia"/>
        </w:rPr>
        <w:fldChar w:fldCharType="begin"/>
      </w:r>
      <w:r>
        <w:rPr>
          <w:rFonts w:hint="eastAsia"/>
        </w:rPr>
        <w:instrText xml:space="preserve"> </w:instrText>
      </w:r>
      <w:r>
        <w:instrText xml:space="preserve">PAGEREF _Toc225538190 \h</w:instrText>
      </w:r>
      <w:r>
        <w:rPr>
          <w:rFonts w:hint="eastAsia"/>
        </w:rPr>
        <w:instrText xml:space="preserve"> </w:instrText>
      </w:r>
      <w:r>
        <w:rPr>
          <w:rFonts w:hint="eastAsia"/>
        </w:rPr>
        <w:fldChar w:fldCharType="separate"/>
      </w:r>
      <w:r>
        <w:t>110</w:t>
      </w:r>
      <w:r>
        <w:rPr>
          <w:rFonts w:hint="eastAsia"/>
        </w:rPr>
        <w:fldChar w:fldCharType="end"/>
      </w:r>
      <w:r>
        <w:fldChar w:fldCharType="end"/>
      </w:r>
    </w:p>
    <w:p w14:paraId="4059AF5E">
      <w:pPr>
        <w:pStyle w:val="21"/>
        <w:rPr>
          <w:rFonts w:hint="eastAsia" w:asciiTheme="minorHAnsi" w:hAnsiTheme="minorHAnsi" w:eastAsiaTheme="minorEastAsia" w:cstheme="minorBidi"/>
          <w:sz w:val="22"/>
          <w14:ligatures w14:val="standardContextual"/>
        </w:rPr>
      </w:pPr>
      <w:r>
        <w:fldChar w:fldCharType="begin"/>
      </w:r>
      <w:r>
        <w:instrText xml:space="preserve">HYPERLINK \l "_Toc225538191"</w:instrText>
      </w:r>
      <w:r>
        <w:fldChar w:fldCharType="separate"/>
      </w:r>
      <w:r>
        <w:rPr>
          <w:rStyle w:val="34"/>
          <w:rFonts w:hint="eastAsia" w:eastAsia="楷体_GB2312"/>
          <w:b/>
        </w:rPr>
        <w:t>附件十二：单户资产转让协议（样本）</w:t>
      </w:r>
      <w:r>
        <w:rPr>
          <w:rFonts w:hint="eastAsia"/>
        </w:rPr>
        <w:tab/>
      </w:r>
      <w:r>
        <w:rPr>
          <w:rFonts w:hint="eastAsia"/>
        </w:rPr>
        <w:fldChar w:fldCharType="begin"/>
      </w:r>
      <w:r>
        <w:rPr>
          <w:rFonts w:hint="eastAsia"/>
        </w:rPr>
        <w:instrText xml:space="preserve"> </w:instrText>
      </w:r>
      <w:r>
        <w:instrText xml:space="preserve">PAGEREF _Toc225538191 \h</w:instrText>
      </w:r>
      <w:r>
        <w:rPr>
          <w:rFonts w:hint="eastAsia"/>
        </w:rPr>
        <w:instrText xml:space="preserve"> </w:instrText>
      </w:r>
      <w:r>
        <w:rPr>
          <w:rFonts w:hint="eastAsia"/>
        </w:rPr>
        <w:fldChar w:fldCharType="separate"/>
      </w:r>
      <w:r>
        <w:t>112</w:t>
      </w:r>
      <w:r>
        <w:rPr>
          <w:rFonts w:hint="eastAsia"/>
        </w:rPr>
        <w:fldChar w:fldCharType="end"/>
      </w:r>
      <w:r>
        <w:fldChar w:fldCharType="end"/>
      </w:r>
    </w:p>
    <w:p w14:paraId="4BA97F04">
      <w:pPr>
        <w:spacing w:line="360" w:lineRule="auto"/>
        <w:jc w:val="center"/>
        <w:rPr>
          <w:rFonts w:eastAsia="楷体_GB2312"/>
          <w:b/>
          <w:color w:val="000000"/>
          <w:sz w:val="28"/>
          <w:szCs w:val="28"/>
        </w:rPr>
      </w:pPr>
      <w:r>
        <w:rPr>
          <w:rFonts w:eastAsia="楷体_GB2312"/>
          <w:color w:val="000000"/>
          <w:sz w:val="24"/>
        </w:rPr>
        <w:fldChar w:fldCharType="end"/>
      </w:r>
      <w:r>
        <w:rPr>
          <w:rFonts w:eastAsia="楷体_GB2312"/>
          <w:b/>
          <w:color w:val="000000"/>
          <w:sz w:val="28"/>
          <w:szCs w:val="28"/>
        </w:rPr>
        <w:t>【信托名称】</w:t>
      </w:r>
    </w:p>
    <w:p w14:paraId="407A9C70">
      <w:pPr>
        <w:spacing w:line="360" w:lineRule="auto"/>
        <w:jc w:val="center"/>
        <w:rPr>
          <w:rFonts w:eastAsia="楷体_GB2312"/>
          <w:b/>
          <w:color w:val="000000"/>
          <w:sz w:val="28"/>
          <w:szCs w:val="28"/>
        </w:rPr>
      </w:pPr>
      <w:r>
        <w:rPr>
          <w:rFonts w:hint="eastAsia" w:eastAsia="楷体_GB2312"/>
          <w:b/>
          <w:color w:val="000000"/>
          <w:sz w:val="28"/>
          <w:szCs w:val="28"/>
        </w:rPr>
        <w:t>之</w:t>
      </w:r>
    </w:p>
    <w:p w14:paraId="3AD04250">
      <w:pPr>
        <w:spacing w:line="360" w:lineRule="auto"/>
        <w:jc w:val="center"/>
        <w:rPr>
          <w:rFonts w:eastAsia="楷体_GB2312"/>
          <w:b/>
          <w:color w:val="000000"/>
          <w:sz w:val="28"/>
          <w:szCs w:val="28"/>
        </w:rPr>
      </w:pPr>
      <w:r>
        <w:rPr>
          <w:rFonts w:eastAsia="楷体_GB2312"/>
          <w:b/>
          <w:color w:val="000000"/>
          <w:sz w:val="28"/>
          <w:szCs w:val="28"/>
        </w:rPr>
        <w:t>信托合同</w:t>
      </w:r>
    </w:p>
    <w:p w14:paraId="628CD7CB">
      <w:pPr>
        <w:spacing w:line="360" w:lineRule="auto"/>
        <w:rPr>
          <w:rFonts w:eastAsia="楷体_GB2312"/>
          <w:b/>
          <w:color w:val="000000"/>
          <w:sz w:val="24"/>
        </w:rPr>
      </w:pPr>
      <w:r>
        <w:rPr>
          <w:rFonts w:eastAsia="楷体_GB2312"/>
          <w:b/>
          <w:color w:val="000000"/>
          <w:sz w:val="24"/>
        </w:rPr>
        <w:t>《【信托名称】</w:t>
      </w:r>
      <w:r>
        <w:rPr>
          <w:rFonts w:hint="eastAsia" w:eastAsia="楷体_GB2312"/>
          <w:b/>
          <w:color w:val="000000"/>
          <w:sz w:val="24"/>
        </w:rPr>
        <w:t>之</w:t>
      </w:r>
      <w:r>
        <w:rPr>
          <w:rFonts w:eastAsia="楷体_GB2312"/>
          <w:b/>
          <w:color w:val="000000"/>
          <w:sz w:val="24"/>
        </w:rPr>
        <w:t>信托合同》（“本合同”）由下列双方在【】签订。</w:t>
      </w:r>
    </w:p>
    <w:p w14:paraId="503F73B1">
      <w:pPr>
        <w:tabs>
          <w:tab w:val="left" w:pos="2025"/>
          <w:tab w:val="left" w:pos="8928"/>
        </w:tabs>
        <w:spacing w:line="360" w:lineRule="auto"/>
        <w:rPr>
          <w:rFonts w:eastAsia="楷体_GB2312"/>
          <w:b/>
          <w:color w:val="000000"/>
          <w:sz w:val="24"/>
        </w:rPr>
      </w:pPr>
    </w:p>
    <w:p w14:paraId="2D462B30">
      <w:pPr>
        <w:tabs>
          <w:tab w:val="left" w:pos="2025"/>
          <w:tab w:val="left" w:pos="8928"/>
        </w:tabs>
        <w:spacing w:line="360" w:lineRule="auto"/>
        <w:rPr>
          <w:rFonts w:eastAsia="楷体_GB2312"/>
          <w:b/>
          <w:color w:val="000000"/>
          <w:sz w:val="24"/>
        </w:rPr>
      </w:pPr>
      <w:r>
        <w:rPr>
          <w:rFonts w:eastAsia="楷体_GB2312"/>
          <w:b/>
          <w:color w:val="000000"/>
          <w:sz w:val="24"/>
        </w:rPr>
        <w:t>委托人：</w:t>
      </w:r>
      <w:r>
        <w:rPr>
          <w:rFonts w:eastAsia="楷体_GB2312"/>
          <w:b/>
          <w:color w:val="000000"/>
          <w:sz w:val="24"/>
        </w:rPr>
        <w:tab/>
      </w:r>
      <w:r>
        <w:rPr>
          <w:rFonts w:eastAsia="楷体_GB2312"/>
          <w:b/>
          <w:bCs/>
          <w:color w:val="000000"/>
          <w:sz w:val="24"/>
        </w:rPr>
        <w:t>【发起机构全称】</w:t>
      </w:r>
      <w:r>
        <w:rPr>
          <w:rFonts w:eastAsia="楷体_GB2312"/>
          <w:b/>
          <w:bCs/>
          <w:color w:val="000000"/>
          <w:sz w:val="24"/>
        </w:rPr>
        <w:br w:type="textWrapping"/>
      </w:r>
      <w:r>
        <w:rPr>
          <w:rFonts w:eastAsia="楷体_GB2312"/>
          <w:bCs/>
          <w:color w:val="000000"/>
          <w:sz w:val="24"/>
        </w:rPr>
        <w:t>法定代表人：</w:t>
      </w:r>
      <w:r>
        <w:rPr>
          <w:rFonts w:eastAsia="楷体_GB2312"/>
          <w:bCs/>
          <w:color w:val="000000"/>
          <w:sz w:val="24"/>
        </w:rPr>
        <w:tab/>
      </w:r>
      <w:r>
        <w:rPr>
          <w:rFonts w:eastAsia="楷体_GB2312"/>
          <w:bCs/>
          <w:color w:val="000000"/>
          <w:sz w:val="24"/>
        </w:rPr>
        <w:t>【】</w:t>
      </w:r>
      <w:r>
        <w:rPr>
          <w:rFonts w:eastAsia="楷体_GB2312"/>
          <w:bCs/>
          <w:color w:val="000000"/>
          <w:sz w:val="24"/>
        </w:rPr>
        <w:br w:type="textWrapping"/>
      </w:r>
      <w:r>
        <w:rPr>
          <w:rFonts w:eastAsia="楷体_GB2312"/>
          <w:bCs/>
          <w:color w:val="000000"/>
          <w:sz w:val="24"/>
        </w:rPr>
        <w:t>注册地址：</w:t>
      </w:r>
      <w:r>
        <w:rPr>
          <w:rFonts w:eastAsia="楷体_GB2312"/>
          <w:bCs/>
          <w:color w:val="000000"/>
          <w:sz w:val="24"/>
        </w:rPr>
        <w:tab/>
      </w:r>
      <w:r>
        <w:rPr>
          <w:rFonts w:eastAsia="楷体_GB2312"/>
          <w:bCs/>
          <w:color w:val="000000"/>
          <w:sz w:val="24"/>
        </w:rPr>
        <w:t>【】</w:t>
      </w:r>
      <w:r>
        <w:rPr>
          <w:rFonts w:eastAsia="楷体_GB2312"/>
          <w:bCs/>
          <w:color w:val="000000"/>
          <w:sz w:val="24"/>
        </w:rPr>
        <w:br w:type="textWrapping"/>
      </w:r>
      <w:r>
        <w:rPr>
          <w:rFonts w:eastAsia="楷体_GB2312"/>
          <w:bCs/>
          <w:color w:val="000000"/>
          <w:sz w:val="24"/>
        </w:rPr>
        <w:t>邮政编码：</w:t>
      </w:r>
      <w:r>
        <w:rPr>
          <w:rFonts w:eastAsia="楷体_GB2312"/>
          <w:bCs/>
          <w:color w:val="000000"/>
          <w:sz w:val="24"/>
        </w:rPr>
        <w:tab/>
      </w:r>
      <w:r>
        <w:rPr>
          <w:rFonts w:eastAsia="楷体_GB2312"/>
          <w:bCs/>
          <w:color w:val="000000"/>
          <w:sz w:val="24"/>
        </w:rPr>
        <w:t>【】</w:t>
      </w:r>
      <w:r>
        <w:rPr>
          <w:rFonts w:eastAsia="楷体_GB2312"/>
          <w:bCs/>
          <w:color w:val="000000"/>
          <w:sz w:val="24"/>
        </w:rPr>
        <w:br w:type="textWrapping"/>
      </w:r>
    </w:p>
    <w:p w14:paraId="77F39AC3">
      <w:pPr>
        <w:tabs>
          <w:tab w:val="left" w:pos="2025"/>
          <w:tab w:val="left" w:pos="8928"/>
        </w:tabs>
        <w:spacing w:line="360" w:lineRule="auto"/>
        <w:jc w:val="left"/>
        <w:rPr>
          <w:rFonts w:eastAsia="楷体_GB2312"/>
          <w:bCs/>
          <w:color w:val="000000"/>
          <w:sz w:val="24"/>
        </w:rPr>
      </w:pPr>
      <w:r>
        <w:rPr>
          <w:rFonts w:eastAsia="楷体_GB2312"/>
          <w:b/>
          <w:color w:val="000000"/>
          <w:sz w:val="24"/>
        </w:rPr>
        <w:t>受托人：</w:t>
      </w:r>
      <w:r>
        <w:rPr>
          <w:rFonts w:eastAsia="楷体_GB2312"/>
          <w:b/>
          <w:color w:val="000000"/>
          <w:sz w:val="24"/>
        </w:rPr>
        <w:tab/>
      </w:r>
      <w:r>
        <w:rPr>
          <w:rFonts w:eastAsia="楷体_GB2312"/>
          <w:b/>
          <w:color w:val="000000"/>
          <w:sz w:val="24"/>
        </w:rPr>
        <w:t>【受托机构全称】</w:t>
      </w:r>
      <w:r>
        <w:rPr>
          <w:rFonts w:eastAsia="楷体_GB2312"/>
          <w:b/>
          <w:color w:val="000000"/>
          <w:sz w:val="24"/>
        </w:rPr>
        <w:br w:type="textWrapping"/>
      </w:r>
      <w:r>
        <w:rPr>
          <w:rFonts w:eastAsia="楷体_GB2312"/>
          <w:bCs/>
          <w:color w:val="000000"/>
          <w:sz w:val="24"/>
        </w:rPr>
        <w:t>法定代表人：</w:t>
      </w:r>
      <w:r>
        <w:rPr>
          <w:rFonts w:eastAsia="楷体_GB2312"/>
          <w:bCs/>
          <w:color w:val="000000"/>
          <w:sz w:val="24"/>
        </w:rPr>
        <w:tab/>
      </w:r>
      <w:r>
        <w:rPr>
          <w:rFonts w:eastAsia="楷体_GB2312"/>
          <w:bCs/>
          <w:color w:val="000000"/>
          <w:sz w:val="24"/>
        </w:rPr>
        <w:t>【】</w:t>
      </w:r>
    </w:p>
    <w:p w14:paraId="5785323C">
      <w:pPr>
        <w:tabs>
          <w:tab w:val="left" w:pos="2025"/>
          <w:tab w:val="left" w:pos="8505"/>
        </w:tabs>
        <w:spacing w:line="360" w:lineRule="auto"/>
        <w:ind w:right="-197" w:rightChars="-94"/>
        <w:jc w:val="left"/>
        <w:rPr>
          <w:rFonts w:eastAsia="楷体_GB2312"/>
          <w:bCs/>
          <w:color w:val="000000"/>
          <w:sz w:val="24"/>
        </w:rPr>
      </w:pPr>
      <w:r>
        <w:rPr>
          <w:rFonts w:eastAsia="楷体_GB2312"/>
          <w:bCs/>
          <w:color w:val="000000"/>
          <w:sz w:val="24"/>
        </w:rPr>
        <w:t>注册地址：</w:t>
      </w:r>
      <w:r>
        <w:rPr>
          <w:rFonts w:eastAsia="楷体_GB2312"/>
          <w:bCs/>
          <w:color w:val="000000"/>
          <w:sz w:val="24"/>
        </w:rPr>
        <w:tab/>
      </w:r>
      <w:r>
        <w:rPr>
          <w:rFonts w:eastAsia="楷体_GB2312"/>
          <w:bCs/>
          <w:color w:val="000000"/>
          <w:sz w:val="24"/>
        </w:rPr>
        <w:t>【】</w:t>
      </w:r>
    </w:p>
    <w:p w14:paraId="2BE50A54">
      <w:pPr>
        <w:tabs>
          <w:tab w:val="left" w:pos="2025"/>
          <w:tab w:val="left" w:pos="8928"/>
        </w:tabs>
        <w:spacing w:line="360" w:lineRule="auto"/>
        <w:jc w:val="left"/>
        <w:rPr>
          <w:rFonts w:eastAsia="楷体_GB2312"/>
          <w:bCs/>
          <w:color w:val="000000"/>
          <w:sz w:val="24"/>
        </w:rPr>
      </w:pPr>
      <w:r>
        <w:rPr>
          <w:rFonts w:eastAsia="楷体_GB2312"/>
          <w:bCs/>
          <w:color w:val="000000"/>
          <w:sz w:val="24"/>
        </w:rPr>
        <w:t>邮政编码：</w:t>
      </w:r>
      <w:r>
        <w:rPr>
          <w:rFonts w:eastAsia="楷体_GB2312"/>
          <w:bCs/>
          <w:color w:val="000000"/>
          <w:sz w:val="24"/>
        </w:rPr>
        <w:tab/>
      </w:r>
      <w:r>
        <w:rPr>
          <w:rFonts w:eastAsia="楷体_GB2312"/>
          <w:bCs/>
          <w:color w:val="000000"/>
          <w:sz w:val="24"/>
        </w:rPr>
        <w:t>【】</w:t>
      </w:r>
    </w:p>
    <w:p w14:paraId="0CCA0CE3">
      <w:pPr>
        <w:tabs>
          <w:tab w:val="left" w:pos="0"/>
          <w:tab w:val="left" w:pos="8928"/>
        </w:tabs>
        <w:spacing w:line="360" w:lineRule="auto"/>
        <w:rPr>
          <w:rFonts w:eastAsia="楷体_GB2312"/>
          <w:bCs/>
          <w:color w:val="000000"/>
          <w:sz w:val="24"/>
        </w:rPr>
      </w:pPr>
    </w:p>
    <w:p w14:paraId="3E5D282C">
      <w:pPr>
        <w:tabs>
          <w:tab w:val="left" w:pos="0"/>
          <w:tab w:val="left" w:pos="8928"/>
        </w:tabs>
        <w:spacing w:line="360" w:lineRule="auto"/>
        <w:rPr>
          <w:rFonts w:eastAsia="楷体_GB2312"/>
          <w:bCs/>
          <w:color w:val="000000"/>
          <w:sz w:val="24"/>
        </w:rPr>
      </w:pPr>
      <w:r>
        <w:rPr>
          <w:rFonts w:eastAsia="楷体_GB2312"/>
          <w:bCs/>
          <w:color w:val="000000"/>
          <w:sz w:val="24"/>
        </w:rPr>
        <w:t>以上主体合称为</w:t>
      </w:r>
      <w:r>
        <w:rPr>
          <w:rFonts w:eastAsia="楷体_GB2312"/>
          <w:color w:val="000000"/>
          <w:sz w:val="24"/>
        </w:rPr>
        <w:t>“</w:t>
      </w:r>
      <w:r>
        <w:rPr>
          <w:rFonts w:eastAsia="楷体_GB2312"/>
          <w:bCs/>
          <w:color w:val="000000"/>
          <w:sz w:val="24"/>
        </w:rPr>
        <w:t>双方</w:t>
      </w:r>
      <w:r>
        <w:rPr>
          <w:rFonts w:eastAsia="楷体_GB2312"/>
          <w:color w:val="000000"/>
          <w:sz w:val="24"/>
        </w:rPr>
        <w:t>”</w:t>
      </w:r>
      <w:r>
        <w:rPr>
          <w:rFonts w:eastAsia="楷体_GB2312"/>
          <w:bCs/>
          <w:color w:val="000000"/>
          <w:sz w:val="24"/>
        </w:rPr>
        <w:t>，单称为</w:t>
      </w:r>
      <w:r>
        <w:rPr>
          <w:rFonts w:eastAsia="楷体_GB2312"/>
          <w:color w:val="000000"/>
          <w:sz w:val="24"/>
        </w:rPr>
        <w:t>“</w:t>
      </w:r>
      <w:r>
        <w:rPr>
          <w:rFonts w:eastAsia="楷体_GB2312"/>
          <w:bCs/>
          <w:color w:val="000000"/>
          <w:sz w:val="24"/>
        </w:rPr>
        <w:t>一方</w:t>
      </w:r>
      <w:r>
        <w:rPr>
          <w:rFonts w:eastAsia="楷体_GB2312"/>
          <w:color w:val="000000"/>
          <w:sz w:val="24"/>
        </w:rPr>
        <w:t>”</w:t>
      </w:r>
      <w:r>
        <w:rPr>
          <w:rFonts w:eastAsia="楷体_GB2312"/>
          <w:bCs/>
          <w:color w:val="000000"/>
          <w:sz w:val="24"/>
        </w:rPr>
        <w:t>。</w:t>
      </w:r>
    </w:p>
    <w:p w14:paraId="16DAF34F">
      <w:pPr>
        <w:pStyle w:val="62"/>
        <w:spacing w:line="360" w:lineRule="auto"/>
        <w:rPr>
          <w:color w:val="000000"/>
        </w:rPr>
      </w:pPr>
    </w:p>
    <w:p w14:paraId="68B4D093">
      <w:pPr>
        <w:pStyle w:val="62"/>
        <w:spacing w:line="360" w:lineRule="auto"/>
        <w:rPr>
          <w:color w:val="000000"/>
        </w:rPr>
      </w:pPr>
      <w:r>
        <w:rPr>
          <w:color w:val="000000"/>
        </w:rPr>
        <w:t>鉴于：</w:t>
      </w:r>
    </w:p>
    <w:p w14:paraId="7BB27E0D">
      <w:pPr>
        <w:pStyle w:val="105"/>
        <w:numPr>
          <w:ilvl w:val="0"/>
          <w:numId w:val="6"/>
        </w:numPr>
        <w:tabs>
          <w:tab w:val="left" w:pos="900"/>
          <w:tab w:val="left" w:pos="1785"/>
        </w:tabs>
        <w:rPr>
          <w:rFonts w:eastAsia="楷体_GB2312"/>
          <w:color w:val="000000"/>
        </w:rPr>
      </w:pPr>
      <w:r>
        <w:rPr>
          <w:rFonts w:eastAsia="楷体_GB2312"/>
          <w:color w:val="000000"/>
        </w:rPr>
        <w:t>“委托人”愿意将其合法所有的“资产池”委托给“受托人”设立“信托”，由“受托人”发行“资产支持证券”，并由“受托人”管理、运用和处分“信托财产”。</w:t>
      </w:r>
    </w:p>
    <w:p w14:paraId="099AB316">
      <w:pPr>
        <w:pStyle w:val="105"/>
        <w:numPr>
          <w:ilvl w:val="0"/>
          <w:numId w:val="6"/>
        </w:numPr>
        <w:tabs>
          <w:tab w:val="left" w:pos="425"/>
          <w:tab w:val="left" w:pos="992"/>
        </w:tabs>
        <w:rPr>
          <w:rFonts w:eastAsia="楷体_GB2312"/>
          <w:color w:val="000000"/>
        </w:rPr>
      </w:pPr>
      <w:r>
        <w:rPr>
          <w:rFonts w:eastAsia="楷体_GB2312"/>
          <w:color w:val="000000"/>
        </w:rPr>
        <w:t>“受托人”同意接受“委托人”的委托，并同意根据本合同及其他“交易文件”的约定发行“资产支持证券”及管理、运用、处分“信托财产”。</w:t>
      </w:r>
    </w:p>
    <w:p w14:paraId="0ED4F7EF">
      <w:pPr>
        <w:spacing w:line="360" w:lineRule="auto"/>
        <w:ind w:firstLine="480"/>
        <w:rPr>
          <w:rFonts w:eastAsia="楷体_GB2312"/>
          <w:color w:val="000000"/>
          <w:sz w:val="24"/>
        </w:rPr>
      </w:pPr>
    </w:p>
    <w:p w14:paraId="1B38545B">
      <w:pPr>
        <w:spacing w:line="360" w:lineRule="auto"/>
        <w:ind w:firstLine="480"/>
        <w:rPr>
          <w:rFonts w:eastAsia="楷体_GB2312"/>
          <w:color w:val="000000"/>
          <w:sz w:val="24"/>
        </w:rPr>
      </w:pPr>
      <w:r>
        <w:rPr>
          <w:rFonts w:eastAsia="楷体_GB2312"/>
          <w:color w:val="000000"/>
          <w:sz w:val="24"/>
        </w:rPr>
        <w:t>根据《中华人民共和国信托法》《中华人民共和国民法典》《信托公司管理办法》《信贷资产证券化试点管理办法》《金融机构信贷资产证券化试点监督管理办法》《关于信贷资产证券化备案登记工作流程的通知》（银监办便函〔2014〕1092号）、中国人民银行公告〔2015〕第7号、《不良贷款资产支持证券信息披露指引（试行）》《中国银保监会办公厅关于银行业金融机构信贷资产证券化信息登记有关事项的通知》（银保监办发〔2020〕99号）及其他应适用的“中国”“法律”的规定，本着平等、互利、诚实信用的原则，在充分友好协商的基础上达成本合同，以昭信守。</w:t>
      </w:r>
    </w:p>
    <w:p w14:paraId="5B08FA4D">
      <w:pPr>
        <w:numPr>
          <w:ilvl w:val="0"/>
          <w:numId w:val="7"/>
        </w:numPr>
        <w:spacing w:line="360" w:lineRule="auto"/>
        <w:outlineLvl w:val="0"/>
        <w:rPr>
          <w:rFonts w:eastAsia="楷体_GB2312"/>
          <w:b/>
          <w:color w:val="000000"/>
          <w:sz w:val="24"/>
        </w:rPr>
      </w:pPr>
      <w:bookmarkStart w:id="11" w:name="_Toc219654321"/>
      <w:bookmarkEnd w:id="11"/>
      <w:bookmarkStart w:id="12" w:name="_Toc204497511"/>
      <w:bookmarkEnd w:id="12"/>
      <w:bookmarkStart w:id="13" w:name="_Toc219654250"/>
      <w:bookmarkEnd w:id="13"/>
      <w:bookmarkStart w:id="14" w:name="_Toc219710668"/>
      <w:bookmarkStart w:id="15" w:name="_Toc225538149"/>
      <w:r>
        <w:rPr>
          <w:rFonts w:eastAsia="楷体_GB2312"/>
          <w:b/>
          <w:color w:val="000000"/>
          <w:sz w:val="24"/>
          <w:lang w:val="en-GB"/>
        </w:rPr>
        <w:t>定义</w:t>
      </w:r>
      <w:bookmarkEnd w:id="14"/>
      <w:bookmarkEnd w:id="15"/>
    </w:p>
    <w:p w14:paraId="0277549C">
      <w:pPr>
        <w:spacing w:line="360" w:lineRule="auto"/>
        <w:ind w:left="424" w:leftChars="202"/>
        <w:rPr>
          <w:rFonts w:eastAsia="楷体_GB2312"/>
          <w:color w:val="000000"/>
          <w:sz w:val="24"/>
        </w:rPr>
      </w:pPr>
      <w:r>
        <w:rPr>
          <w:rFonts w:eastAsia="楷体_GB2312"/>
          <w:color w:val="000000"/>
          <w:sz w:val="24"/>
        </w:rPr>
        <w:t>在本合同中，除非上下文另有解释或文义另作说明，</w:t>
      </w:r>
      <w:r>
        <w:rPr>
          <w:rFonts w:eastAsia="楷体_GB2312"/>
          <w:bCs/>
          <w:color w:val="000000"/>
          <w:sz w:val="24"/>
        </w:rPr>
        <w:t>本合同中的词语</w:t>
      </w:r>
      <w:r>
        <w:rPr>
          <w:rFonts w:eastAsia="楷体_GB2312"/>
          <w:color w:val="000000"/>
          <w:sz w:val="24"/>
        </w:rPr>
        <w:t>或简称</w:t>
      </w:r>
      <w:r>
        <w:rPr>
          <w:rFonts w:eastAsia="楷体_GB2312"/>
          <w:bCs/>
          <w:color w:val="000000"/>
          <w:sz w:val="24"/>
        </w:rPr>
        <w:t>以及所述的解释规则与由本合同双方签订的《【信托名称】主定义表》（以下简称“《主定义表》”）中所定义的词语或简称以及所列示的解释规则，具有相同的含义。</w:t>
      </w:r>
    </w:p>
    <w:p w14:paraId="36F5A915">
      <w:pPr>
        <w:numPr>
          <w:ilvl w:val="0"/>
          <w:numId w:val="7"/>
        </w:numPr>
        <w:spacing w:line="360" w:lineRule="auto"/>
        <w:outlineLvl w:val="0"/>
        <w:rPr>
          <w:rFonts w:eastAsia="楷体_GB2312"/>
          <w:b/>
          <w:bCs/>
          <w:color w:val="000000"/>
          <w:sz w:val="24"/>
        </w:rPr>
      </w:pPr>
      <w:bookmarkStart w:id="16" w:name="_Toc204497513"/>
      <w:bookmarkEnd w:id="16"/>
      <w:bookmarkStart w:id="17" w:name="_Toc219654323"/>
      <w:bookmarkEnd w:id="17"/>
      <w:bookmarkStart w:id="18" w:name="_Toc219654252"/>
      <w:bookmarkEnd w:id="18"/>
      <w:bookmarkStart w:id="19" w:name="_Toc225538150"/>
      <w:bookmarkStart w:id="20" w:name="_Toc219710669"/>
      <w:r>
        <w:rPr>
          <w:rFonts w:eastAsia="楷体_GB2312"/>
          <w:b/>
          <w:bCs/>
          <w:color w:val="000000"/>
          <w:sz w:val="24"/>
        </w:rPr>
        <w:t>信托目的</w:t>
      </w:r>
      <w:bookmarkEnd w:id="19"/>
      <w:bookmarkEnd w:id="20"/>
    </w:p>
    <w:p w14:paraId="09645E41">
      <w:pPr>
        <w:numPr>
          <w:ilvl w:val="1"/>
          <w:numId w:val="7"/>
        </w:numPr>
        <w:spacing w:line="360" w:lineRule="auto"/>
        <w:rPr>
          <w:rFonts w:eastAsia="楷体_GB2312"/>
          <w:color w:val="000000"/>
          <w:sz w:val="24"/>
        </w:rPr>
      </w:pPr>
      <w:r>
        <w:rPr>
          <w:rFonts w:eastAsia="楷体_GB2312"/>
          <w:color w:val="000000"/>
          <w:sz w:val="24"/>
        </w:rPr>
        <w:t>为了实现金融不良资产的证券化，“委托人”基于对“受托人”的信任，根据本合同将其合法所有的“资产池”信托予“受托人”设立“信托”作为特殊目的载体，由“受托人”为“受益人”的利益</w:t>
      </w:r>
      <w:r>
        <w:rPr>
          <w:rFonts w:eastAsia="楷体_GB2312"/>
          <w:bCs/>
          <w:color w:val="000000"/>
          <w:sz w:val="24"/>
        </w:rPr>
        <w:t>管理、运用和处分</w:t>
      </w:r>
      <w:r>
        <w:rPr>
          <w:rFonts w:eastAsia="楷体_GB2312"/>
          <w:color w:val="000000"/>
          <w:sz w:val="24"/>
        </w:rPr>
        <w:t>“</w:t>
      </w:r>
      <w:r>
        <w:rPr>
          <w:rFonts w:eastAsia="楷体_GB2312"/>
          <w:bCs/>
          <w:color w:val="000000"/>
          <w:sz w:val="24"/>
        </w:rPr>
        <w:t>信托财产</w:t>
      </w:r>
      <w:r>
        <w:rPr>
          <w:rFonts w:eastAsia="楷体_GB2312"/>
          <w:color w:val="000000"/>
          <w:sz w:val="24"/>
        </w:rPr>
        <w:t>”。</w:t>
      </w:r>
    </w:p>
    <w:p w14:paraId="6A80A300">
      <w:pPr>
        <w:numPr>
          <w:ilvl w:val="1"/>
          <w:numId w:val="7"/>
        </w:numPr>
        <w:spacing w:line="360" w:lineRule="auto"/>
        <w:rPr>
          <w:rFonts w:eastAsia="楷体_GB2312"/>
          <w:color w:val="000000"/>
          <w:sz w:val="24"/>
        </w:rPr>
      </w:pPr>
      <w:r>
        <w:rPr>
          <w:rFonts w:eastAsia="楷体_GB2312"/>
          <w:color w:val="000000"/>
          <w:sz w:val="24"/>
        </w:rPr>
        <w:t>通过“信托”的设立，实现“资产池”与“委托人”的其他自有资产的风险相隔离，实现“资产池”与“委托人”自身的破产风险相隔离，实现投资者以“信托财产”为限进行追索，从而保护“资产支持证券持有人”的利益，提高金融资源配置效率。</w:t>
      </w:r>
    </w:p>
    <w:p w14:paraId="63FA2A76">
      <w:pPr>
        <w:numPr>
          <w:ilvl w:val="0"/>
          <w:numId w:val="7"/>
        </w:numPr>
        <w:spacing w:line="360" w:lineRule="auto"/>
        <w:outlineLvl w:val="0"/>
        <w:rPr>
          <w:rFonts w:eastAsia="楷体_GB2312"/>
          <w:b/>
          <w:color w:val="000000"/>
          <w:sz w:val="24"/>
        </w:rPr>
      </w:pPr>
      <w:bookmarkStart w:id="21" w:name="_Toc219654325"/>
      <w:bookmarkEnd w:id="21"/>
      <w:bookmarkStart w:id="22" w:name="_Toc204497515"/>
      <w:bookmarkEnd w:id="22"/>
      <w:bookmarkStart w:id="23" w:name="_Toc219654326"/>
      <w:bookmarkEnd w:id="23"/>
      <w:bookmarkStart w:id="24" w:name="_Toc219654254"/>
      <w:bookmarkEnd w:id="24"/>
      <w:bookmarkStart w:id="25" w:name="_Toc219654255"/>
      <w:bookmarkEnd w:id="25"/>
      <w:bookmarkStart w:id="26" w:name="_Toc225538151"/>
      <w:bookmarkStart w:id="27" w:name="_Toc219710670"/>
      <w:r>
        <w:rPr>
          <w:rFonts w:eastAsia="楷体_GB2312"/>
          <w:b/>
          <w:color w:val="000000"/>
          <w:sz w:val="24"/>
        </w:rPr>
        <w:t>信托的设立</w:t>
      </w:r>
      <w:bookmarkEnd w:id="26"/>
      <w:bookmarkEnd w:id="27"/>
    </w:p>
    <w:p w14:paraId="0F3BED8D">
      <w:pPr>
        <w:numPr>
          <w:ilvl w:val="1"/>
          <w:numId w:val="7"/>
        </w:numPr>
        <w:spacing w:line="360" w:lineRule="auto"/>
        <w:rPr>
          <w:rFonts w:eastAsia="楷体_GB2312"/>
          <w:b/>
          <w:color w:val="000000"/>
          <w:sz w:val="24"/>
        </w:rPr>
      </w:pPr>
      <w:bookmarkStart w:id="28" w:name="_Toc111281766"/>
      <w:bookmarkStart w:id="29" w:name="_Toc110153414"/>
      <w:bookmarkStart w:id="30" w:name="_Toc201569375"/>
      <w:r>
        <w:rPr>
          <w:rFonts w:eastAsia="楷体_GB2312"/>
          <w:b/>
          <w:color w:val="000000"/>
          <w:sz w:val="24"/>
        </w:rPr>
        <w:t>信托的名称</w:t>
      </w:r>
      <w:bookmarkEnd w:id="28"/>
      <w:bookmarkEnd w:id="29"/>
      <w:bookmarkEnd w:id="30"/>
    </w:p>
    <w:p w14:paraId="0914F74B">
      <w:pPr>
        <w:spacing w:line="360" w:lineRule="auto"/>
        <w:ind w:left="840" w:firstLine="57" w:firstLineChars="24"/>
        <w:rPr>
          <w:rFonts w:eastAsia="楷体_GB2312"/>
          <w:bCs/>
          <w:color w:val="000000"/>
          <w:sz w:val="24"/>
        </w:rPr>
      </w:pP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的名称为</w:t>
      </w:r>
      <w:r>
        <w:rPr>
          <w:rFonts w:eastAsia="楷体_GB2312"/>
          <w:color w:val="000000"/>
          <w:sz w:val="24"/>
        </w:rPr>
        <w:t>“【</w:t>
      </w:r>
      <w:r>
        <w:rPr>
          <w:rFonts w:eastAsia="楷体_GB2312"/>
          <w:bCs/>
          <w:color w:val="000000"/>
          <w:sz w:val="24"/>
        </w:rPr>
        <w:t>信托名称】</w:t>
      </w:r>
      <w:r>
        <w:rPr>
          <w:rFonts w:eastAsia="楷体_GB2312"/>
          <w:color w:val="000000"/>
          <w:sz w:val="24"/>
        </w:rPr>
        <w:t>”</w:t>
      </w:r>
      <w:r>
        <w:rPr>
          <w:rFonts w:eastAsia="楷体_GB2312"/>
          <w:bCs/>
          <w:color w:val="000000"/>
          <w:sz w:val="24"/>
        </w:rPr>
        <w:t>。</w:t>
      </w:r>
    </w:p>
    <w:p w14:paraId="045FAD26">
      <w:pPr>
        <w:numPr>
          <w:ilvl w:val="1"/>
          <w:numId w:val="7"/>
        </w:numPr>
        <w:spacing w:line="360" w:lineRule="auto"/>
        <w:rPr>
          <w:rFonts w:eastAsia="楷体_GB2312"/>
          <w:b/>
          <w:color w:val="000000"/>
          <w:sz w:val="24"/>
        </w:rPr>
      </w:pPr>
      <w:bookmarkStart w:id="31" w:name="_Toc106417340"/>
      <w:bookmarkEnd w:id="31"/>
      <w:bookmarkStart w:id="32" w:name="_Toc111281767"/>
      <w:bookmarkStart w:id="33" w:name="_Toc92612904"/>
      <w:bookmarkStart w:id="34" w:name="_Toc201569376"/>
      <w:bookmarkStart w:id="35" w:name="_Toc110153415"/>
      <w:r>
        <w:rPr>
          <w:rFonts w:eastAsia="楷体_GB2312"/>
          <w:b/>
          <w:color w:val="000000"/>
          <w:sz w:val="24"/>
        </w:rPr>
        <w:t>信托类别</w:t>
      </w:r>
    </w:p>
    <w:p w14:paraId="6582476B">
      <w:pPr>
        <w:tabs>
          <w:tab w:val="left" w:pos="425"/>
          <w:tab w:val="left" w:pos="992"/>
        </w:tabs>
        <w:spacing w:line="360" w:lineRule="auto"/>
        <w:ind w:left="992"/>
        <w:rPr>
          <w:rFonts w:eastAsia="楷体_GB2312"/>
          <w:bCs/>
          <w:color w:val="000000"/>
          <w:sz w:val="24"/>
        </w:rPr>
      </w:pPr>
      <w:r>
        <w:rPr>
          <w:rFonts w:eastAsia="楷体_GB2312"/>
          <w:bCs/>
          <w:color w:val="000000"/>
          <w:sz w:val="24"/>
        </w:rPr>
        <w:t>“信托”的类别为：【资产证券化服务信托】。</w:t>
      </w:r>
    </w:p>
    <w:p w14:paraId="51FAD20D">
      <w:pPr>
        <w:numPr>
          <w:ilvl w:val="1"/>
          <w:numId w:val="7"/>
        </w:numPr>
        <w:spacing w:line="360" w:lineRule="auto"/>
        <w:rPr>
          <w:rFonts w:eastAsia="楷体_GB2312"/>
          <w:b/>
          <w:color w:val="000000"/>
          <w:sz w:val="24"/>
        </w:rPr>
      </w:pPr>
      <w:r>
        <w:rPr>
          <w:rFonts w:eastAsia="楷体_GB2312"/>
          <w:b/>
          <w:color w:val="000000"/>
          <w:sz w:val="24"/>
        </w:rPr>
        <w:t>信托业务品种</w:t>
      </w:r>
    </w:p>
    <w:p w14:paraId="1E591212">
      <w:pPr>
        <w:tabs>
          <w:tab w:val="left" w:pos="425"/>
          <w:tab w:val="left" w:pos="992"/>
        </w:tabs>
        <w:spacing w:line="360" w:lineRule="auto"/>
        <w:ind w:left="992"/>
        <w:rPr>
          <w:rFonts w:eastAsia="楷体_GB2312"/>
          <w:bCs/>
          <w:color w:val="000000"/>
          <w:sz w:val="24"/>
        </w:rPr>
      </w:pPr>
      <w:r>
        <w:rPr>
          <w:rFonts w:eastAsia="楷体_GB2312"/>
          <w:bCs/>
          <w:color w:val="000000"/>
          <w:sz w:val="24"/>
        </w:rPr>
        <w:t>“信托”的业务品种为：【信贷资产证券化服务信托】。</w:t>
      </w:r>
    </w:p>
    <w:p w14:paraId="5A16EBBE">
      <w:pPr>
        <w:numPr>
          <w:ilvl w:val="1"/>
          <w:numId w:val="7"/>
        </w:numPr>
        <w:spacing w:line="360" w:lineRule="auto"/>
        <w:rPr>
          <w:rFonts w:eastAsia="楷体_GB2312"/>
          <w:b/>
          <w:color w:val="000000"/>
          <w:sz w:val="24"/>
        </w:rPr>
      </w:pPr>
      <w:r>
        <w:rPr>
          <w:rFonts w:eastAsia="楷体_GB2312"/>
          <w:b/>
          <w:snapToGrid w:val="0"/>
          <w:kern w:val="28"/>
          <w:sz w:val="24"/>
          <w:szCs w:val="20"/>
        </w:rPr>
        <w:t>信托</w:t>
      </w:r>
      <w:r>
        <w:rPr>
          <w:rFonts w:eastAsia="楷体_GB2312"/>
          <w:b/>
          <w:color w:val="000000"/>
          <w:sz w:val="24"/>
        </w:rPr>
        <w:t>当事人</w:t>
      </w:r>
      <w:bookmarkEnd w:id="32"/>
      <w:bookmarkEnd w:id="33"/>
      <w:bookmarkEnd w:id="34"/>
      <w:bookmarkEnd w:id="35"/>
    </w:p>
    <w:p w14:paraId="3C5EC27F">
      <w:pPr>
        <w:numPr>
          <w:ilvl w:val="2"/>
          <w:numId w:val="7"/>
        </w:numPr>
        <w:spacing w:line="360" w:lineRule="auto"/>
        <w:ind w:left="1701" w:hanging="708"/>
        <w:rPr>
          <w:rFonts w:eastAsia="楷体_GB2312"/>
          <w:b/>
          <w:bCs/>
          <w:color w:val="000000"/>
          <w:sz w:val="24"/>
        </w:rPr>
      </w:pPr>
      <w:r>
        <w:rPr>
          <w:rFonts w:eastAsia="楷体_GB2312"/>
          <w:b/>
          <w:snapToGrid w:val="0"/>
          <w:kern w:val="28"/>
          <w:sz w:val="24"/>
          <w:szCs w:val="20"/>
        </w:rPr>
        <w:t>委托人</w:t>
      </w:r>
      <w:r>
        <w:rPr>
          <w:rFonts w:eastAsia="楷体_GB2312"/>
          <w:b/>
          <w:bCs/>
          <w:color w:val="000000"/>
          <w:sz w:val="24"/>
        </w:rPr>
        <w:t>：</w:t>
      </w:r>
      <w:r>
        <w:rPr>
          <w:rFonts w:eastAsia="楷体_GB2312"/>
          <w:snapToGrid w:val="0"/>
          <w:kern w:val="28"/>
          <w:sz w:val="24"/>
          <w:szCs w:val="20"/>
        </w:rPr>
        <w:t>“信托”</w:t>
      </w:r>
      <w:r>
        <w:rPr>
          <w:rFonts w:eastAsia="楷体_GB2312"/>
          <w:bCs/>
          <w:color w:val="000000"/>
          <w:sz w:val="24"/>
        </w:rPr>
        <w:t>的“委托人”为</w:t>
      </w:r>
      <w:r>
        <w:rPr>
          <w:rFonts w:eastAsia="楷体_GB2312"/>
          <w:color w:val="000000"/>
          <w:sz w:val="24"/>
        </w:rPr>
        <w:t>【发起机构全称】。</w:t>
      </w:r>
    </w:p>
    <w:p w14:paraId="1A586040">
      <w:pPr>
        <w:numPr>
          <w:ilvl w:val="2"/>
          <w:numId w:val="7"/>
        </w:numPr>
        <w:spacing w:line="360" w:lineRule="auto"/>
        <w:ind w:left="1701" w:hanging="708"/>
        <w:rPr>
          <w:rFonts w:eastAsia="楷体_GB2312"/>
          <w:b/>
          <w:bCs/>
          <w:color w:val="000000"/>
        </w:rPr>
      </w:pPr>
      <w:r>
        <w:rPr>
          <w:rFonts w:eastAsia="楷体_GB2312"/>
          <w:b/>
          <w:bCs/>
          <w:color w:val="000000"/>
          <w:sz w:val="24"/>
        </w:rPr>
        <w:t>受托人：</w:t>
      </w:r>
      <w:r>
        <w:rPr>
          <w:rFonts w:eastAsia="楷体_GB2312"/>
          <w:bCs/>
          <w:color w:val="000000"/>
          <w:sz w:val="24"/>
        </w:rPr>
        <w:t>“信托”的“受托人”为【受托机构全称】。</w:t>
      </w:r>
    </w:p>
    <w:p w14:paraId="4B71301F">
      <w:pPr>
        <w:numPr>
          <w:ilvl w:val="2"/>
          <w:numId w:val="7"/>
        </w:numPr>
        <w:spacing w:line="360" w:lineRule="auto"/>
        <w:ind w:left="1701" w:hanging="708"/>
        <w:rPr>
          <w:rFonts w:eastAsia="楷体_GB2312"/>
          <w:b/>
          <w:bCs/>
          <w:color w:val="000000"/>
          <w:sz w:val="24"/>
        </w:rPr>
      </w:pPr>
      <w:r>
        <w:rPr>
          <w:rFonts w:eastAsia="楷体_GB2312"/>
          <w:b/>
          <w:snapToGrid w:val="0"/>
          <w:kern w:val="28"/>
          <w:sz w:val="24"/>
          <w:szCs w:val="20"/>
        </w:rPr>
        <w:t>受益人：</w:t>
      </w:r>
      <w:r>
        <w:rPr>
          <w:rFonts w:eastAsia="楷体_GB2312"/>
          <w:snapToGrid w:val="0"/>
          <w:kern w:val="28"/>
          <w:sz w:val="24"/>
          <w:szCs w:val="20"/>
        </w:rPr>
        <w:t>“信托”的“受益人”即“资产支持证券持有人”。“资产支持证券持有人”包括“优先级资产支持证券持有人”和“次级资产支持证券持有人”，</w:t>
      </w:r>
      <w:r>
        <w:rPr>
          <w:rFonts w:eastAsia="楷体_GB2312"/>
          <w:bCs/>
          <w:snapToGrid w:val="0"/>
          <w:kern w:val="28"/>
          <w:sz w:val="24"/>
          <w:szCs w:val="20"/>
        </w:rPr>
        <w:t>以及</w:t>
      </w:r>
      <w:r>
        <w:rPr>
          <w:rFonts w:eastAsia="楷体_GB2312"/>
          <w:snapToGrid w:val="0"/>
          <w:kern w:val="28"/>
          <w:sz w:val="24"/>
          <w:szCs w:val="20"/>
        </w:rPr>
        <w:t>“</w:t>
      </w:r>
      <w:r>
        <w:rPr>
          <w:rFonts w:eastAsia="楷体_GB2312"/>
          <w:bCs/>
          <w:snapToGrid w:val="0"/>
          <w:kern w:val="28"/>
          <w:sz w:val="24"/>
          <w:szCs w:val="20"/>
        </w:rPr>
        <w:t>资产支持证券持有人</w:t>
      </w:r>
      <w:r>
        <w:rPr>
          <w:rFonts w:eastAsia="楷体_GB2312"/>
          <w:snapToGrid w:val="0"/>
          <w:kern w:val="28"/>
          <w:sz w:val="24"/>
          <w:szCs w:val="20"/>
        </w:rPr>
        <w:t>”</w:t>
      </w:r>
      <w:r>
        <w:rPr>
          <w:rFonts w:eastAsia="楷体_GB2312"/>
          <w:bCs/>
          <w:snapToGrid w:val="0"/>
          <w:kern w:val="28"/>
          <w:sz w:val="24"/>
          <w:szCs w:val="20"/>
        </w:rPr>
        <w:t>的合法继承人和受让人</w:t>
      </w:r>
      <w:r>
        <w:rPr>
          <w:rFonts w:eastAsia="楷体_GB2312"/>
          <w:snapToGrid w:val="0"/>
          <w:kern w:val="28"/>
          <w:sz w:val="24"/>
          <w:szCs w:val="20"/>
        </w:rPr>
        <w:t>。</w:t>
      </w:r>
    </w:p>
    <w:p w14:paraId="504FE9EE">
      <w:pPr>
        <w:numPr>
          <w:ilvl w:val="1"/>
          <w:numId w:val="7"/>
        </w:numPr>
        <w:spacing w:line="360" w:lineRule="auto"/>
        <w:rPr>
          <w:rFonts w:eastAsia="楷体_GB2312"/>
          <w:b/>
          <w:color w:val="000000"/>
          <w:sz w:val="24"/>
        </w:rPr>
      </w:pPr>
      <w:bookmarkStart w:id="36" w:name="_Toc111281768"/>
      <w:bookmarkStart w:id="37" w:name="_Toc92612905"/>
      <w:bookmarkStart w:id="38" w:name="_Toc110153416"/>
      <w:bookmarkStart w:id="39" w:name="_Toc201569377"/>
      <w:r>
        <w:rPr>
          <w:rFonts w:eastAsia="楷体_GB2312"/>
          <w:b/>
          <w:color w:val="000000"/>
          <w:sz w:val="24"/>
        </w:rPr>
        <w:t>信托声明</w:t>
      </w:r>
      <w:bookmarkEnd w:id="36"/>
      <w:bookmarkEnd w:id="37"/>
      <w:bookmarkEnd w:id="38"/>
      <w:bookmarkEnd w:id="39"/>
    </w:p>
    <w:p w14:paraId="24CE330B">
      <w:pPr>
        <w:spacing w:line="360" w:lineRule="auto"/>
        <w:ind w:left="992"/>
        <w:rPr>
          <w:rFonts w:eastAsia="楷体_GB2312"/>
          <w:color w:val="000000"/>
          <w:sz w:val="24"/>
        </w:rPr>
      </w:pPr>
      <w:r>
        <w:rPr>
          <w:rFonts w:eastAsia="楷体_GB2312"/>
          <w:color w:val="000000"/>
          <w:sz w:val="24"/>
        </w:rPr>
        <w:t>“</w:t>
      </w:r>
      <w:r>
        <w:rPr>
          <w:rFonts w:eastAsia="楷体_GB2312"/>
          <w:bCs/>
          <w:color w:val="000000"/>
          <w:sz w:val="24"/>
        </w:rPr>
        <w:t>委托人</w:t>
      </w:r>
      <w:r>
        <w:rPr>
          <w:rFonts w:eastAsia="楷体_GB2312"/>
          <w:color w:val="000000"/>
          <w:sz w:val="24"/>
        </w:rPr>
        <w:t>”</w:t>
      </w:r>
      <w:r>
        <w:rPr>
          <w:rFonts w:eastAsia="楷体_GB2312"/>
          <w:bCs/>
          <w:color w:val="000000"/>
          <w:sz w:val="24"/>
        </w:rPr>
        <w:t>自愿按照本合同的约定将</w:t>
      </w:r>
      <w:r>
        <w:rPr>
          <w:rFonts w:eastAsia="楷体_GB2312"/>
          <w:color w:val="000000"/>
          <w:sz w:val="24"/>
        </w:rPr>
        <w:t>“资产池”作为“信托财产”</w:t>
      </w:r>
      <w:r>
        <w:rPr>
          <w:rFonts w:eastAsia="楷体_GB2312"/>
          <w:bCs/>
          <w:color w:val="000000"/>
          <w:sz w:val="24"/>
        </w:rPr>
        <w:t>委托给</w:t>
      </w:r>
      <w:r>
        <w:rPr>
          <w:rFonts w:eastAsia="楷体_GB2312"/>
          <w:color w:val="000000"/>
          <w:sz w:val="24"/>
        </w:rPr>
        <w:t>“</w:t>
      </w:r>
      <w:r>
        <w:rPr>
          <w:rFonts w:eastAsia="楷体_GB2312"/>
          <w:bCs/>
          <w:color w:val="000000"/>
          <w:sz w:val="24"/>
        </w:rPr>
        <w:t>受托人</w:t>
      </w:r>
      <w:r>
        <w:rPr>
          <w:rFonts w:eastAsia="楷体_GB2312"/>
          <w:color w:val="000000"/>
          <w:sz w:val="24"/>
        </w:rPr>
        <w:t>”</w:t>
      </w:r>
      <w:r>
        <w:rPr>
          <w:rFonts w:eastAsia="楷体_GB2312"/>
          <w:bCs/>
          <w:color w:val="000000"/>
          <w:sz w:val="24"/>
        </w:rPr>
        <w:t>设立</w:t>
      </w: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受托人</w:t>
      </w:r>
      <w:r>
        <w:rPr>
          <w:rFonts w:eastAsia="楷体_GB2312"/>
          <w:color w:val="000000"/>
          <w:sz w:val="24"/>
        </w:rPr>
        <w:t>”</w:t>
      </w:r>
      <w:r>
        <w:rPr>
          <w:rFonts w:eastAsia="楷体_GB2312"/>
          <w:bCs/>
          <w:color w:val="000000"/>
          <w:sz w:val="24"/>
        </w:rPr>
        <w:t>同意接受</w:t>
      </w:r>
      <w:r>
        <w:rPr>
          <w:rFonts w:eastAsia="楷体_GB2312"/>
          <w:color w:val="000000"/>
          <w:sz w:val="24"/>
        </w:rPr>
        <w:t>“</w:t>
      </w:r>
      <w:r>
        <w:rPr>
          <w:rFonts w:eastAsia="楷体_GB2312"/>
          <w:bCs/>
          <w:color w:val="000000"/>
          <w:sz w:val="24"/>
        </w:rPr>
        <w:t>委托人</w:t>
      </w:r>
      <w:r>
        <w:rPr>
          <w:rFonts w:eastAsia="楷体_GB2312"/>
          <w:color w:val="000000"/>
          <w:sz w:val="24"/>
        </w:rPr>
        <w:t>”的委托</w:t>
      </w:r>
      <w:r>
        <w:rPr>
          <w:rFonts w:eastAsia="楷体_GB2312"/>
          <w:bCs/>
          <w:color w:val="000000"/>
          <w:sz w:val="24"/>
        </w:rPr>
        <w:t>，并按本合同的约定以自己的名义管理、运用、处分</w:t>
      </w:r>
      <w:r>
        <w:rPr>
          <w:rFonts w:eastAsia="楷体_GB2312"/>
          <w:color w:val="000000"/>
          <w:sz w:val="24"/>
        </w:rPr>
        <w:t>“</w:t>
      </w:r>
      <w:r>
        <w:rPr>
          <w:rFonts w:eastAsia="楷体_GB2312"/>
          <w:bCs/>
          <w:color w:val="000000"/>
          <w:sz w:val="24"/>
        </w:rPr>
        <w:t>信托财产</w:t>
      </w:r>
      <w:r>
        <w:rPr>
          <w:rFonts w:eastAsia="楷体_GB2312"/>
          <w:color w:val="000000"/>
          <w:sz w:val="24"/>
        </w:rPr>
        <w:t>”</w:t>
      </w:r>
      <w:r>
        <w:rPr>
          <w:rFonts w:eastAsia="楷体_GB2312"/>
          <w:bCs/>
          <w:color w:val="000000"/>
          <w:sz w:val="24"/>
        </w:rPr>
        <w:t>。</w:t>
      </w:r>
    </w:p>
    <w:p w14:paraId="1588EFD6">
      <w:pPr>
        <w:numPr>
          <w:ilvl w:val="1"/>
          <w:numId w:val="7"/>
        </w:numPr>
        <w:spacing w:line="360" w:lineRule="auto"/>
        <w:rPr>
          <w:rFonts w:eastAsia="楷体_GB2312"/>
          <w:b/>
          <w:bCs/>
          <w:color w:val="000000"/>
          <w:sz w:val="24"/>
        </w:rPr>
      </w:pPr>
      <w:bookmarkStart w:id="40" w:name="_Toc110370633"/>
      <w:bookmarkEnd w:id="40"/>
      <w:bookmarkStart w:id="41" w:name="_Toc110370834"/>
      <w:bookmarkEnd w:id="41"/>
      <w:bookmarkStart w:id="42" w:name="_Toc110153417"/>
      <w:bookmarkEnd w:id="42"/>
      <w:bookmarkStart w:id="43" w:name="_Toc110153418"/>
      <w:bookmarkEnd w:id="43"/>
      <w:bookmarkStart w:id="44" w:name="_Toc110370835"/>
      <w:bookmarkEnd w:id="44"/>
      <w:bookmarkStart w:id="45" w:name="_Toc110370632"/>
      <w:bookmarkEnd w:id="45"/>
      <w:bookmarkStart w:id="46" w:name="_Ref335838472"/>
      <w:bookmarkStart w:id="47" w:name="_Ref111021949"/>
      <w:bookmarkStart w:id="48" w:name="_Toc110153419"/>
      <w:bookmarkStart w:id="49" w:name="_Ref110334703"/>
      <w:bookmarkStart w:id="50" w:name="_Ref110392648"/>
      <w:bookmarkStart w:id="51" w:name="_Ref148383501"/>
      <w:bookmarkStart w:id="52" w:name="_Ref110337144"/>
      <w:bookmarkStart w:id="53" w:name="_Ref110336882"/>
      <w:bookmarkStart w:id="54" w:name="_Toc92612907"/>
      <w:bookmarkStart w:id="55" w:name="_Toc111281769"/>
      <w:bookmarkStart w:id="56" w:name="_Ref201577470"/>
      <w:r>
        <w:rPr>
          <w:rFonts w:eastAsia="楷体_GB2312"/>
          <w:b/>
          <w:color w:val="000000"/>
          <w:sz w:val="24"/>
        </w:rPr>
        <w:t>资产的信托</w:t>
      </w:r>
      <w:bookmarkEnd w:id="46"/>
    </w:p>
    <w:p w14:paraId="4165991E">
      <w:pPr>
        <w:numPr>
          <w:ilvl w:val="2"/>
          <w:numId w:val="7"/>
        </w:numPr>
        <w:spacing w:line="360" w:lineRule="auto"/>
        <w:ind w:left="1701" w:hanging="708"/>
        <w:rPr>
          <w:rFonts w:eastAsia="楷体_GB2312"/>
          <w:b/>
          <w:bCs/>
          <w:color w:val="000000"/>
          <w:sz w:val="24"/>
        </w:rPr>
      </w:pPr>
      <w:bookmarkStart w:id="57" w:name="_Ref336003152"/>
      <w:r>
        <w:rPr>
          <w:rFonts w:eastAsia="楷体_GB2312"/>
          <w:bCs/>
          <w:color w:val="000000"/>
          <w:sz w:val="24"/>
        </w:rPr>
        <w:t>自</w:t>
      </w:r>
      <w:r>
        <w:rPr>
          <w:rFonts w:eastAsia="楷体_GB2312"/>
          <w:snapToGrid w:val="0"/>
          <w:kern w:val="28"/>
          <w:sz w:val="24"/>
          <w:szCs w:val="20"/>
        </w:rPr>
        <w:t>“信托生效日”</w:t>
      </w:r>
      <w:r>
        <w:rPr>
          <w:rFonts w:eastAsia="楷体_GB2312"/>
          <w:bCs/>
          <w:color w:val="000000"/>
          <w:sz w:val="24"/>
        </w:rPr>
        <w:t>起，“委托人”为“受益人”的利益，将自“初始起算日”起（【含/不含】</w:t>
      </w:r>
      <w:r>
        <w:rPr>
          <w:rFonts w:eastAsia="楷体_GB2312"/>
          <w:snapToGrid w:val="0"/>
          <w:kern w:val="28"/>
          <w:sz w:val="24"/>
          <w:szCs w:val="20"/>
        </w:rPr>
        <w:t>该日</w:t>
      </w:r>
      <w:r>
        <w:rPr>
          <w:rFonts w:eastAsia="楷体_GB2312"/>
          <w:bCs/>
          <w:color w:val="000000"/>
          <w:sz w:val="24"/>
        </w:rPr>
        <w:t>）“委托人”对于以下财产的（现时的和未来的、现实的和或有的）全部权利、权益、利益和收益，包括但不限于(1)以下财产项下到期或将到期的全部款项，(2)以下财产被转让、被出售、被拍卖、被变卖或者被以其他方式处置所获得的全部款项，(3)请求、起诉、收回、接受以下财产项下的全部应偿付款项（不论其是否应由“义务人”偿付）的权利，(4)强制执行以下财产的全部权利和法律救济，均信托予“受托人”：</w:t>
      </w:r>
      <w:bookmarkEnd w:id="57"/>
    </w:p>
    <w:p w14:paraId="71AFEC76">
      <w:pPr>
        <w:numPr>
          <w:ilvl w:val="0"/>
          <w:numId w:val="8"/>
        </w:numPr>
        <w:spacing w:line="360" w:lineRule="auto"/>
        <w:ind w:left="1701" w:leftChars="810" w:firstLine="0"/>
        <w:rPr>
          <w:rFonts w:eastAsia="楷体_GB2312"/>
          <w:color w:val="000000"/>
          <w:sz w:val="24"/>
        </w:rPr>
      </w:pPr>
      <w:bookmarkStart w:id="58" w:name="_Ref458371191"/>
      <w:r>
        <w:rPr>
          <w:rFonts w:eastAsia="楷体_GB2312"/>
          <w:color w:val="000000"/>
          <w:sz w:val="24"/>
        </w:rPr>
        <w:t>“资产清单”</w:t>
      </w:r>
      <w:r>
        <w:rPr>
          <w:rStyle w:val="41"/>
          <w:rFonts w:eastAsia="楷体_GB2312"/>
          <w:color w:val="000000"/>
          <w:w w:val="0"/>
          <w:sz w:val="24"/>
          <w:u w:val="none"/>
        </w:rPr>
        <w:t>（格式见本合同</w:t>
      </w:r>
      <w:r>
        <w:rPr>
          <w:rStyle w:val="41"/>
          <w:rFonts w:eastAsia="楷体_GB2312"/>
          <w:b/>
          <w:i/>
          <w:color w:val="000000"/>
          <w:w w:val="0"/>
          <w:sz w:val="24"/>
          <w:u w:val="none"/>
        </w:rPr>
        <w:t>附件一</w:t>
      </w:r>
      <w:r>
        <w:rPr>
          <w:rStyle w:val="41"/>
          <w:rFonts w:eastAsia="楷体_GB2312"/>
          <w:color w:val="000000"/>
          <w:w w:val="0"/>
          <w:sz w:val="24"/>
          <w:u w:val="none"/>
        </w:rPr>
        <w:t>）</w:t>
      </w:r>
      <w:r>
        <w:rPr>
          <w:rFonts w:eastAsia="楷体_GB2312"/>
          <w:color w:val="000000"/>
          <w:sz w:val="24"/>
        </w:rPr>
        <w:t>中所列的在“初始起算日”</w:t>
      </w:r>
      <w:r>
        <w:rPr>
          <w:rFonts w:eastAsia="楷体_GB2312"/>
          <w:i/>
          <w:iCs/>
          <w:sz w:val="24"/>
        </w:rPr>
        <w:t>【具体时点】</w:t>
      </w:r>
      <w:r>
        <w:rPr>
          <w:rFonts w:eastAsia="楷体_GB2312"/>
          <w:color w:val="000000"/>
          <w:sz w:val="24"/>
        </w:rPr>
        <w:t>存在的全部“资产”；以及</w:t>
      </w:r>
      <w:bookmarkEnd w:id="58"/>
    </w:p>
    <w:p w14:paraId="050F5F89">
      <w:pPr>
        <w:numPr>
          <w:ilvl w:val="0"/>
          <w:numId w:val="8"/>
        </w:numPr>
        <w:spacing w:line="360" w:lineRule="auto"/>
        <w:ind w:left="1701" w:leftChars="810" w:firstLine="0"/>
        <w:rPr>
          <w:rFonts w:eastAsia="楷体_GB2312"/>
          <w:bCs/>
          <w:color w:val="000000"/>
          <w:sz w:val="24"/>
        </w:rPr>
      </w:pPr>
      <w:r>
        <w:rPr>
          <w:rFonts w:eastAsia="楷体_GB2312"/>
          <w:color w:val="000000"/>
          <w:sz w:val="24"/>
        </w:rPr>
        <w:t>“过渡期”</w:t>
      </w:r>
      <w:r>
        <w:rPr>
          <w:rFonts w:eastAsia="楷体_GB2312"/>
          <w:bCs/>
          <w:color w:val="000000"/>
          <w:sz w:val="24"/>
        </w:rPr>
        <w:t>收到的所有“处置收入”。</w:t>
      </w:r>
    </w:p>
    <w:p w14:paraId="39D0B734">
      <w:pPr>
        <w:spacing w:line="360" w:lineRule="auto"/>
        <w:ind w:left="1701"/>
        <w:rPr>
          <w:rFonts w:eastAsia="楷体_GB2312"/>
          <w:bCs/>
          <w:color w:val="000000"/>
          <w:sz w:val="24"/>
        </w:rPr>
      </w:pPr>
      <w:r>
        <w:rPr>
          <w:rFonts w:eastAsia="楷体_GB2312"/>
          <w:bCs/>
          <w:color w:val="000000"/>
          <w:sz w:val="24"/>
        </w:rPr>
        <w:t>“受托人”接受信托，并同意根据本合同、“中国”“法律”的规定履行其职责和义务。</w:t>
      </w:r>
    </w:p>
    <w:p w14:paraId="171114B8">
      <w:pPr>
        <w:numPr>
          <w:ilvl w:val="2"/>
          <w:numId w:val="7"/>
        </w:numPr>
        <w:spacing w:line="360" w:lineRule="auto"/>
        <w:ind w:left="1701" w:hanging="708"/>
        <w:rPr>
          <w:rFonts w:eastAsia="楷体_GB2312"/>
          <w:b/>
          <w:bCs/>
          <w:color w:val="000000"/>
          <w:sz w:val="24"/>
        </w:rPr>
      </w:pPr>
      <w:bookmarkStart w:id="59" w:name="_Ref446583103"/>
      <w:r>
        <w:rPr>
          <w:rFonts w:eastAsia="楷体_GB2312"/>
          <w:bCs/>
          <w:snapToGrid w:val="0"/>
          <w:color w:val="000000"/>
          <w:kern w:val="28"/>
          <w:sz w:val="24"/>
          <w:szCs w:val="20"/>
        </w:rPr>
        <w:t>在上述第</w:t>
      </w:r>
      <w:r>
        <w:rPr>
          <w:rFonts w:eastAsia="楷体_GB2312"/>
          <w:bCs/>
          <w:snapToGrid w:val="0"/>
          <w:color w:val="000000"/>
          <w:kern w:val="28"/>
          <w:sz w:val="24"/>
          <w:szCs w:val="20"/>
        </w:rPr>
        <w:fldChar w:fldCharType="begin"/>
      </w:r>
      <w:r>
        <w:rPr>
          <w:rFonts w:eastAsia="楷体_GB2312"/>
          <w:bCs/>
          <w:snapToGrid w:val="0"/>
          <w:color w:val="000000"/>
          <w:kern w:val="28"/>
          <w:sz w:val="24"/>
          <w:szCs w:val="20"/>
        </w:rPr>
        <w:instrText xml:space="preserve"> REF _Ref336003152 \r \h  \* MERGEFORMAT </w:instrText>
      </w:r>
      <w:r>
        <w:rPr>
          <w:rFonts w:eastAsia="楷体_GB2312"/>
          <w:bCs/>
          <w:snapToGrid w:val="0"/>
          <w:color w:val="000000"/>
          <w:kern w:val="28"/>
          <w:sz w:val="24"/>
          <w:szCs w:val="20"/>
        </w:rPr>
        <w:fldChar w:fldCharType="separate"/>
      </w:r>
      <w:r>
        <w:rPr>
          <w:rFonts w:eastAsia="楷体_GB2312"/>
          <w:bCs/>
          <w:snapToGrid w:val="0"/>
          <w:color w:val="000000"/>
          <w:kern w:val="28"/>
          <w:sz w:val="24"/>
          <w:szCs w:val="20"/>
        </w:rPr>
        <w:t>3.6.1</w:t>
      </w:r>
      <w:r>
        <w:rPr>
          <w:rFonts w:eastAsia="楷体_GB2312"/>
          <w:bCs/>
          <w:snapToGrid w:val="0"/>
          <w:color w:val="000000"/>
          <w:kern w:val="28"/>
          <w:sz w:val="24"/>
          <w:szCs w:val="20"/>
        </w:rPr>
        <w:fldChar w:fldCharType="end"/>
      </w:r>
      <w:r>
        <w:rPr>
          <w:rFonts w:eastAsia="楷体_GB2312"/>
          <w:bCs/>
          <w:snapToGrid w:val="0"/>
          <w:color w:val="000000"/>
          <w:kern w:val="28"/>
          <w:sz w:val="24"/>
          <w:szCs w:val="20"/>
        </w:rPr>
        <w:t>款的基础上，“委托人”应为“受益人”的利益，向“受托人”</w:t>
      </w:r>
      <w:r>
        <w:rPr>
          <w:rFonts w:eastAsia="楷体_GB2312"/>
          <w:snapToGrid w:val="0"/>
          <w:kern w:val="28"/>
          <w:sz w:val="24"/>
          <w:szCs w:val="20"/>
        </w:rPr>
        <w:t>转让</w:t>
      </w:r>
      <w:r>
        <w:rPr>
          <w:rFonts w:eastAsia="楷体_GB2312"/>
          <w:bCs/>
          <w:snapToGrid w:val="0"/>
          <w:color w:val="000000"/>
          <w:kern w:val="28"/>
          <w:sz w:val="24"/>
          <w:szCs w:val="20"/>
        </w:rPr>
        <w:t>其对于相关“账户记录”的（现时的和未来的、实际的和或有的）全部所有权和相关权益（其中，对于最高额担保合同等“资产”与“委托人”未信托给“受托人”的其他债权共用的“账户记录”，如“委托人”提出合理理由需要使用时，“受托人”应当予以配合，如有）。自“信托生效日”起至“贷款服务机构”停止担任“贷款服务机构”时止，该等“账户记录”应被视为已交付给作为“受托人”代理人的“贷款服务机构”。</w:t>
      </w:r>
      <w:bookmarkEnd w:id="59"/>
    </w:p>
    <w:p w14:paraId="05548D9F">
      <w:pPr>
        <w:numPr>
          <w:ilvl w:val="2"/>
          <w:numId w:val="7"/>
        </w:numPr>
        <w:spacing w:line="360" w:lineRule="auto"/>
        <w:ind w:left="1701" w:hanging="708"/>
        <w:rPr>
          <w:rFonts w:eastAsia="楷体_GB2312"/>
          <w:b/>
          <w:bCs/>
          <w:i/>
          <w:snapToGrid w:val="0"/>
          <w:color w:val="FF0000"/>
          <w:kern w:val="28"/>
          <w:sz w:val="24"/>
          <w:szCs w:val="20"/>
        </w:rPr>
      </w:pPr>
      <w:bookmarkStart w:id="60" w:name="_Ref449358013"/>
      <w:r>
        <w:rPr>
          <w:rFonts w:eastAsia="楷体_GB2312"/>
          <w:bCs/>
          <w:snapToGrid w:val="0"/>
          <w:color w:val="000000"/>
          <w:kern w:val="28"/>
          <w:sz w:val="24"/>
          <w:szCs w:val="20"/>
        </w:rPr>
        <w:t>如</w:t>
      </w:r>
      <w:r>
        <w:rPr>
          <w:rFonts w:eastAsia="楷体_GB2312"/>
          <w:bCs/>
          <w:color w:val="000000"/>
          <w:sz w:val="24"/>
        </w:rPr>
        <w:t>“信托”</w:t>
      </w:r>
      <w:r>
        <w:rPr>
          <w:rFonts w:eastAsia="楷体_GB2312"/>
          <w:bCs/>
          <w:snapToGrid w:val="0"/>
          <w:color w:val="000000"/>
          <w:kern w:val="28"/>
          <w:sz w:val="24"/>
          <w:szCs w:val="20"/>
        </w:rPr>
        <w:t>设立后“委托人”和“受托人”（代表“信托”）分别对同一“借款人”享有债权或分别对同一“担保人”在同一“担保合同”项下享有担保权益（如有），当“借款人”、“担保人”（如有）偿还的款项不足以完全清偿其对“委托人”和“受托人”的到期应付款项，且无法识别“借款人”、“担保人”（如有）偿付的款项的归属时，则“委托人”和“受托人”同意将“借款人”和/或“担保人”（如有）的还款按照如下顺序在“委托人”和“受托人”（代表“信托”）之间分配：【(1)优先按照各笔应付款项的到期顺序偿付并进行相应分配；(2)如各笔应付款项同一天到期的，则按各笔应付款项的比例同顺序进行分配】。</w:t>
      </w:r>
      <w:bookmarkEnd w:id="60"/>
    </w:p>
    <w:p w14:paraId="17C9B7C6">
      <w:pPr>
        <w:spacing w:line="360" w:lineRule="auto"/>
        <w:ind w:left="1701"/>
        <w:rPr>
          <w:snapToGrid w:val="0"/>
        </w:rPr>
      </w:pPr>
      <w:r>
        <w:rPr>
          <w:rFonts w:eastAsia="楷体_GB2312"/>
          <w:b/>
          <w:i/>
          <w:iCs/>
          <w:snapToGrid w:val="0"/>
          <w:color w:val="FF0000"/>
          <w:kern w:val="28"/>
          <w:sz w:val="24"/>
          <w:szCs w:val="20"/>
        </w:rPr>
        <w:t>【注：可根据项目具体情况调整。如具体项目资产不涉及担保的，可删除本款中担保相关表述；具体分配顺序根据具体情况调整。】</w:t>
      </w:r>
    </w:p>
    <w:p w14:paraId="309BE472">
      <w:pPr>
        <w:numPr>
          <w:ilvl w:val="2"/>
          <w:numId w:val="7"/>
        </w:numPr>
        <w:spacing w:line="360" w:lineRule="auto"/>
        <w:ind w:left="1701" w:hanging="708"/>
        <w:rPr>
          <w:rFonts w:eastAsia="楷体_GB2312"/>
          <w:bCs/>
          <w:snapToGrid w:val="0"/>
          <w:color w:val="000000"/>
          <w:kern w:val="28"/>
          <w:sz w:val="24"/>
          <w:szCs w:val="20"/>
        </w:rPr>
      </w:pPr>
      <w:bookmarkStart w:id="61" w:name="_Ref383609427"/>
      <w:bookmarkStart w:id="62" w:name="_Ref221087142"/>
      <w:bookmarkStart w:id="63" w:name="_Ref47817172"/>
      <w:r>
        <w:rPr>
          <w:rFonts w:eastAsia="楷体_GB2312"/>
          <w:bCs/>
          <w:snapToGrid w:val="0"/>
          <w:color w:val="000000"/>
          <w:kern w:val="28"/>
          <w:sz w:val="24"/>
          <w:szCs w:val="20"/>
        </w:rPr>
        <w:t>就</w:t>
      </w:r>
      <w:bookmarkEnd w:id="61"/>
      <w:r>
        <w:rPr>
          <w:rFonts w:eastAsia="楷体_GB2312"/>
          <w:bCs/>
          <w:snapToGrid w:val="0"/>
          <w:color w:val="000000"/>
          <w:kern w:val="28"/>
          <w:sz w:val="24"/>
          <w:szCs w:val="20"/>
        </w:rPr>
        <w:t>涉及最高额担保的“资产”而言，如“信托”设立后“委托人”和“受托人”（代表“信托”）分别对同一最高额担保项下的“借款人”和/或“担保人”在该等最高额担保项下分别享有债权和/或担保权益（就“受托人”而言，该等债权和/或担保权益特指属于“信托财产”的“资产”和“附属权益”），则对于“担保人”承担该等最高额担保责任所偿还的款项，“委托人”和“受托人”同意按照截至实际还款日“借款人”和/或“担保人”对“委托人”和“受托人”的应付未付金额的比例在“委托人”和“受托人”之间分配。</w:t>
      </w:r>
      <w:bookmarkEnd w:id="62"/>
    </w:p>
    <w:bookmarkEnd w:id="63"/>
    <w:p w14:paraId="6797C81F">
      <w:pPr>
        <w:spacing w:line="360" w:lineRule="auto"/>
        <w:ind w:left="1701"/>
      </w:pPr>
      <w:r>
        <w:rPr>
          <w:rFonts w:eastAsia="楷体_GB2312"/>
          <w:b/>
          <w:i/>
          <w:iCs/>
          <w:color w:val="FF0000"/>
          <w:sz w:val="24"/>
        </w:rPr>
        <w:t>【注：可根据具体项目的需要进行调整。如基础资产不涉及最高额担保，则删除本款。】</w:t>
      </w:r>
    </w:p>
    <w:p w14:paraId="44E53DE1">
      <w:pPr>
        <w:numPr>
          <w:ilvl w:val="2"/>
          <w:numId w:val="7"/>
        </w:numPr>
        <w:spacing w:line="360" w:lineRule="auto"/>
        <w:ind w:left="1701" w:hanging="708"/>
        <w:rPr>
          <w:rFonts w:eastAsia="楷体_GB2312"/>
          <w:bCs/>
          <w:snapToGrid w:val="0"/>
          <w:color w:val="000000"/>
          <w:kern w:val="28"/>
          <w:sz w:val="24"/>
          <w:szCs w:val="20"/>
        </w:rPr>
      </w:pPr>
      <w:r>
        <w:rPr>
          <w:rFonts w:eastAsia="楷体_GB2312"/>
          <w:bCs/>
          <w:snapToGrid w:val="0"/>
          <w:color w:val="000000"/>
          <w:kern w:val="28"/>
          <w:sz w:val="24"/>
          <w:szCs w:val="20"/>
        </w:rPr>
        <w:t>如</w:t>
      </w:r>
      <w:r>
        <w:rPr>
          <w:rFonts w:eastAsia="楷体_GB2312"/>
          <w:snapToGrid w:val="0"/>
          <w:kern w:val="28"/>
          <w:sz w:val="24"/>
          <w:szCs w:val="20"/>
        </w:rPr>
        <w:t>“信托”</w:t>
      </w:r>
      <w:r>
        <w:rPr>
          <w:rFonts w:eastAsia="楷体_GB2312"/>
          <w:bCs/>
          <w:snapToGrid w:val="0"/>
          <w:color w:val="000000"/>
          <w:kern w:val="28"/>
          <w:sz w:val="24"/>
          <w:szCs w:val="20"/>
        </w:rPr>
        <w:t>设立后“借款人”和/或“担保人”（如有）以同一项财产或财产权利（下称“抵债资产”）抵偿“委托人”和“受托人”（代表“信托”，下同）分别享有的债权，则在“抵债资产”处置前，由“委托人”和“受托人”按各自享有的未偿债权金额比例按份共有该等“抵债资产”；如“抵债资产”处置所产生的款项不足以全部清偿其对</w:t>
      </w:r>
      <w:r>
        <w:rPr>
          <w:rFonts w:eastAsia="楷体_GB2312"/>
          <w:snapToGrid w:val="0"/>
          <w:kern w:val="28"/>
          <w:sz w:val="24"/>
          <w:szCs w:val="20"/>
        </w:rPr>
        <w:t>“委托人”</w:t>
      </w:r>
      <w:r>
        <w:rPr>
          <w:rFonts w:eastAsia="楷体_GB2312"/>
          <w:bCs/>
          <w:snapToGrid w:val="0"/>
          <w:color w:val="000000"/>
          <w:kern w:val="28"/>
          <w:sz w:val="24"/>
          <w:szCs w:val="20"/>
        </w:rPr>
        <w:t>和“受托人”的到期应付款项的，则“委托人”和“受托人”同意按照截至实际还款日“借款人”对“委托人”和“受托人”的未偿金额的比例在“委托人”和“受托人”之间分配。</w:t>
      </w:r>
    </w:p>
    <w:p w14:paraId="2983BACE">
      <w:pPr>
        <w:spacing w:line="360" w:lineRule="auto"/>
        <w:ind w:left="1701"/>
      </w:pPr>
      <w:r>
        <w:rPr>
          <w:rFonts w:eastAsia="楷体_GB2312"/>
          <w:b/>
          <w:i/>
          <w:iCs/>
          <w:color w:val="FF0000"/>
          <w:sz w:val="24"/>
        </w:rPr>
        <w:t>【注：可根据具体项目的需要进行调整。】</w:t>
      </w:r>
    </w:p>
    <w:p w14:paraId="3DA2310D">
      <w:pPr>
        <w:numPr>
          <w:ilvl w:val="2"/>
          <w:numId w:val="7"/>
        </w:numPr>
        <w:spacing w:line="360" w:lineRule="auto"/>
        <w:ind w:left="1701" w:hanging="708"/>
        <w:rPr>
          <w:rFonts w:eastAsia="楷体_GB2312"/>
          <w:bCs/>
          <w:color w:val="000000"/>
          <w:sz w:val="24"/>
        </w:rPr>
      </w:pPr>
      <w:r>
        <w:rPr>
          <w:rFonts w:eastAsia="楷体_GB2312"/>
          <w:bCs/>
          <w:snapToGrid w:val="0"/>
          <w:color w:val="000000"/>
          <w:kern w:val="28"/>
          <w:sz w:val="24"/>
          <w:szCs w:val="20"/>
        </w:rPr>
        <w:t>自</w:t>
      </w:r>
      <w:r>
        <w:rPr>
          <w:rFonts w:eastAsia="楷体_GB2312"/>
          <w:bCs/>
          <w:color w:val="000000"/>
          <w:sz w:val="24"/>
        </w:rPr>
        <w:t>“信托生效日”</w:t>
      </w:r>
      <w:r>
        <w:rPr>
          <w:rFonts w:eastAsia="楷体_GB2312"/>
          <w:bCs/>
          <w:snapToGrid w:val="0"/>
          <w:color w:val="000000"/>
          <w:kern w:val="28"/>
          <w:sz w:val="24"/>
          <w:szCs w:val="20"/>
        </w:rPr>
        <w:t>起，“受托人”同意“委托人”作为“贷款服务机构”继续履行其在“信托生效日”之前与第三方签署的与“资产”相关的协议。</w:t>
      </w:r>
    </w:p>
    <w:p w14:paraId="12408CC1">
      <w:pPr>
        <w:numPr>
          <w:ilvl w:val="2"/>
          <w:numId w:val="7"/>
        </w:numPr>
        <w:spacing w:line="360" w:lineRule="auto"/>
        <w:ind w:left="1701" w:hanging="708"/>
        <w:rPr>
          <w:rFonts w:eastAsia="楷体_GB2312"/>
          <w:color w:val="000000"/>
          <w:sz w:val="24"/>
        </w:rPr>
      </w:pPr>
      <w:r>
        <w:rPr>
          <w:rFonts w:eastAsia="楷体_GB2312"/>
          <w:bCs/>
          <w:color w:val="000000"/>
          <w:sz w:val="24"/>
        </w:rPr>
        <w:t>自“信托生效日”起，</w:t>
      </w:r>
      <w:r>
        <w:rPr>
          <w:rFonts w:eastAsia="楷体_GB2312"/>
          <w:color w:val="000000"/>
          <w:sz w:val="24"/>
        </w:rPr>
        <w:t>“资产池”即成为“信托财产”，“委托人”除根据本合同第</w:t>
      </w:r>
      <w:r>
        <w:rPr>
          <w:rFonts w:eastAsia="楷体_GB2312"/>
          <w:color w:val="000000"/>
          <w:sz w:val="24"/>
        </w:rPr>
        <w:fldChar w:fldCharType="begin"/>
      </w:r>
      <w:r>
        <w:rPr>
          <w:rFonts w:eastAsia="楷体_GB2312"/>
          <w:color w:val="000000"/>
          <w:sz w:val="24"/>
        </w:rPr>
        <w:instrText xml:space="preserve"> REF _Ref201647086 \r \h  \* MERGEFORMAT </w:instrText>
      </w:r>
      <w:r>
        <w:rPr>
          <w:rFonts w:eastAsia="楷体_GB2312"/>
          <w:color w:val="000000"/>
          <w:sz w:val="24"/>
        </w:rPr>
        <w:fldChar w:fldCharType="separate"/>
      </w:r>
      <w:r>
        <w:rPr>
          <w:rFonts w:eastAsia="楷体_GB2312"/>
          <w:color w:val="000000"/>
          <w:sz w:val="24"/>
        </w:rPr>
        <w:t>4</w:t>
      </w:r>
      <w:r>
        <w:rPr>
          <w:rFonts w:eastAsia="楷体_GB2312"/>
          <w:color w:val="000000"/>
          <w:sz w:val="24"/>
        </w:rPr>
        <w:fldChar w:fldCharType="end"/>
      </w:r>
      <w:r>
        <w:rPr>
          <w:rFonts w:eastAsia="楷体_GB2312"/>
          <w:color w:val="000000"/>
          <w:sz w:val="24"/>
        </w:rPr>
        <w:t>条赎回“不合格资产”或根据本合同第</w:t>
      </w:r>
      <w:r>
        <w:rPr>
          <w:rFonts w:eastAsia="楷体_GB2312"/>
        </w:rPr>
        <w:fldChar w:fldCharType="begin"/>
      </w:r>
      <w:r>
        <w:rPr>
          <w:rFonts w:eastAsia="楷体_GB2312"/>
          <w:color w:val="000000"/>
          <w:sz w:val="24"/>
        </w:rPr>
        <w:instrText xml:space="preserve"> REF _Ref221465006 \r \h </w:instrText>
      </w:r>
      <w:r>
        <w:rPr>
          <w:rFonts w:eastAsia="楷体_GB2312"/>
        </w:rPr>
        <w:instrText xml:space="preserve"> \* MERGEFORMAT </w:instrText>
      </w:r>
      <w:r>
        <w:rPr>
          <w:rFonts w:eastAsia="楷体_GB2312"/>
        </w:rPr>
        <w:fldChar w:fldCharType="separate"/>
      </w:r>
      <w:r>
        <w:rPr>
          <w:rFonts w:eastAsia="楷体_GB2312"/>
          <w:color w:val="000000"/>
          <w:sz w:val="24"/>
        </w:rPr>
        <w:t>13</w:t>
      </w:r>
      <w:r>
        <w:rPr>
          <w:rFonts w:eastAsia="楷体_GB2312"/>
        </w:rPr>
        <w:fldChar w:fldCharType="end"/>
      </w:r>
      <w:r>
        <w:rPr>
          <w:rFonts w:eastAsia="楷体_GB2312"/>
          <w:color w:val="000000"/>
          <w:sz w:val="24"/>
        </w:rPr>
        <w:t>条进行“清仓回购”外，对该等“资产池”不再享有任何权利也不再承担任何风险。</w:t>
      </w:r>
    </w:p>
    <w:p w14:paraId="51647119">
      <w:pPr>
        <w:numPr>
          <w:ilvl w:val="1"/>
          <w:numId w:val="7"/>
        </w:numPr>
        <w:spacing w:line="360" w:lineRule="auto"/>
        <w:rPr>
          <w:rFonts w:eastAsia="楷体_GB2312"/>
          <w:b/>
          <w:color w:val="000000"/>
          <w:sz w:val="24"/>
        </w:rPr>
      </w:pPr>
      <w:bookmarkStart w:id="64" w:name="_Ref47877398"/>
      <w:r>
        <w:rPr>
          <w:rFonts w:eastAsia="楷体_GB2312"/>
          <w:b/>
          <w:color w:val="000000"/>
          <w:sz w:val="24"/>
        </w:rPr>
        <w:t>信托财产</w:t>
      </w:r>
      <w:bookmarkEnd w:id="47"/>
      <w:bookmarkEnd w:id="48"/>
      <w:bookmarkEnd w:id="49"/>
      <w:bookmarkEnd w:id="50"/>
      <w:bookmarkEnd w:id="51"/>
      <w:bookmarkEnd w:id="52"/>
      <w:bookmarkEnd w:id="53"/>
      <w:bookmarkEnd w:id="54"/>
      <w:bookmarkEnd w:id="55"/>
      <w:bookmarkEnd w:id="64"/>
    </w:p>
    <w:p w14:paraId="1553B3A3">
      <w:pPr>
        <w:numPr>
          <w:ilvl w:val="2"/>
          <w:numId w:val="7"/>
        </w:numPr>
        <w:spacing w:line="360" w:lineRule="auto"/>
        <w:ind w:left="1701" w:hanging="708"/>
        <w:rPr>
          <w:rFonts w:eastAsia="楷体_GB2312"/>
          <w:b/>
          <w:color w:val="000000"/>
          <w:sz w:val="24"/>
        </w:rPr>
      </w:pPr>
      <w:r>
        <w:rPr>
          <w:rFonts w:eastAsia="楷体_GB2312"/>
          <w:b/>
          <w:snapToGrid w:val="0"/>
          <w:kern w:val="28"/>
          <w:sz w:val="24"/>
          <w:szCs w:val="20"/>
        </w:rPr>
        <w:t>信托财产的范围</w:t>
      </w:r>
    </w:p>
    <w:p w14:paraId="471F28BD">
      <w:pPr>
        <w:spacing w:line="360" w:lineRule="auto"/>
        <w:ind w:left="1701"/>
        <w:rPr>
          <w:rFonts w:eastAsia="楷体_GB2312"/>
          <w:color w:val="000000"/>
          <w:sz w:val="24"/>
        </w:rPr>
      </w:pPr>
      <w:r>
        <w:rPr>
          <w:rFonts w:eastAsia="楷体_GB2312"/>
          <w:snapToGrid w:val="0"/>
          <w:kern w:val="28"/>
          <w:sz w:val="24"/>
          <w:szCs w:val="20"/>
        </w:rPr>
        <w:t>“信托”的“信托财产”的范围包括：</w:t>
      </w:r>
    </w:p>
    <w:p w14:paraId="116AC12A">
      <w:pPr>
        <w:numPr>
          <w:ilvl w:val="0"/>
          <w:numId w:val="9"/>
        </w:numPr>
        <w:spacing w:line="360" w:lineRule="auto"/>
        <w:rPr>
          <w:rStyle w:val="41"/>
          <w:rFonts w:eastAsia="楷体_GB2312"/>
          <w:color w:val="000000"/>
          <w:w w:val="0"/>
          <w:sz w:val="24"/>
          <w:u w:val="none"/>
        </w:rPr>
      </w:pPr>
      <w:bookmarkStart w:id="65" w:name="_DV_C215"/>
      <w:r>
        <w:rPr>
          <w:rStyle w:val="41"/>
          <w:rFonts w:eastAsia="楷体_GB2312"/>
          <w:color w:val="000000"/>
          <w:w w:val="0"/>
          <w:sz w:val="24"/>
          <w:u w:val="none"/>
        </w:rPr>
        <w:t>“资产清单”（格式见本合同</w:t>
      </w:r>
      <w:r>
        <w:rPr>
          <w:rStyle w:val="41"/>
          <w:rFonts w:eastAsia="楷体_GB2312"/>
          <w:b/>
          <w:i/>
          <w:color w:val="000000"/>
          <w:w w:val="0"/>
          <w:sz w:val="24"/>
          <w:u w:val="none"/>
        </w:rPr>
        <w:t>附件一</w:t>
      </w:r>
      <w:r>
        <w:rPr>
          <w:rStyle w:val="41"/>
          <w:rFonts w:eastAsia="楷体_GB2312"/>
          <w:color w:val="000000"/>
          <w:w w:val="0"/>
          <w:sz w:val="24"/>
          <w:u w:val="none"/>
        </w:rPr>
        <w:t>）中所列的在“初始起算日”【</w:t>
      </w:r>
      <w:r>
        <w:rPr>
          <w:rFonts w:eastAsia="楷体_GB2312"/>
          <w:i/>
          <w:iCs/>
          <w:sz w:val="24"/>
        </w:rPr>
        <w:t>具体时点</w:t>
      </w:r>
      <w:r>
        <w:rPr>
          <w:rStyle w:val="41"/>
          <w:rFonts w:eastAsia="楷体_GB2312"/>
          <w:color w:val="000000"/>
          <w:w w:val="0"/>
          <w:sz w:val="24"/>
          <w:u w:val="none"/>
        </w:rPr>
        <w:t>】存在的全部“资产”，即该等“资产”项下的全部“</w:t>
      </w:r>
      <w:r>
        <w:rPr>
          <w:rFonts w:eastAsia="楷体_GB2312"/>
          <w:bCs/>
          <w:snapToGrid w:val="0"/>
          <w:color w:val="000000"/>
          <w:kern w:val="28"/>
          <w:sz w:val="24"/>
          <w:szCs w:val="20"/>
        </w:rPr>
        <w:t>贷款</w:t>
      </w:r>
      <w:r>
        <w:rPr>
          <w:rStyle w:val="41"/>
          <w:rFonts w:eastAsia="楷体_GB2312"/>
          <w:color w:val="000000"/>
          <w:w w:val="0"/>
          <w:sz w:val="24"/>
          <w:u w:val="none"/>
        </w:rPr>
        <w:t>”及其转化的“其他相关权益”或财产以及“附属权益”（如有）；</w:t>
      </w:r>
    </w:p>
    <w:p w14:paraId="47812E51">
      <w:pPr>
        <w:numPr>
          <w:ilvl w:val="0"/>
          <w:numId w:val="9"/>
        </w:numPr>
        <w:spacing w:line="360" w:lineRule="auto"/>
        <w:rPr>
          <w:w w:val="0"/>
        </w:rPr>
      </w:pPr>
      <w:r>
        <w:rPr>
          <w:rStyle w:val="41"/>
          <w:rFonts w:eastAsia="楷体_GB2312"/>
          <w:color w:val="000000"/>
          <w:w w:val="0"/>
          <w:sz w:val="24"/>
          <w:u w:val="none"/>
        </w:rPr>
        <w:t>自“初始起算日”（【含/不含】该日）起，“资产池”中的全部“资产”所产生的全部资金，包括“处置收入”以及“信托账户”中的所有资金产生的收益；</w:t>
      </w:r>
    </w:p>
    <w:p w14:paraId="41DAACE5">
      <w:pPr>
        <w:numPr>
          <w:ilvl w:val="0"/>
          <w:numId w:val="9"/>
        </w:numPr>
        <w:spacing w:line="360" w:lineRule="auto"/>
        <w:rPr>
          <w:rStyle w:val="41"/>
          <w:rFonts w:eastAsia="楷体_GB2312"/>
          <w:color w:val="000000"/>
          <w:w w:val="0"/>
          <w:sz w:val="24"/>
          <w:u w:val="none"/>
        </w:rPr>
      </w:pPr>
      <w:r>
        <w:rPr>
          <w:rStyle w:val="41"/>
          <w:rFonts w:eastAsia="楷体_GB2312"/>
          <w:color w:val="000000"/>
          <w:w w:val="0"/>
          <w:sz w:val="24"/>
          <w:u w:val="none"/>
        </w:rPr>
        <w:t>管理、经营、处置和处分“资产池”中全部“资产”、“处置收入”等“信托财产”所获得的其他财产（包括但不限于因“不合格资产”被赎回所取得相当于“赎回价格”的款项以及因“资产池”被“清仓回购”所取得相当于“清仓回购价格”的款项）。</w:t>
      </w:r>
      <w:bookmarkEnd w:id="65"/>
    </w:p>
    <w:p w14:paraId="7D27B45D">
      <w:pPr>
        <w:spacing w:line="360" w:lineRule="auto"/>
        <w:ind w:left="2127"/>
        <w:rPr>
          <w:rFonts w:eastAsia="楷体_GB2312"/>
          <w:color w:val="000000"/>
          <w:sz w:val="24"/>
        </w:rPr>
      </w:pPr>
      <w:r>
        <w:rPr>
          <w:rFonts w:eastAsia="楷体_GB2312"/>
          <w:b/>
          <w:bCs/>
          <w:i/>
          <w:iCs/>
          <w:color w:val="FF0000"/>
          <w:w w:val="0"/>
          <w:sz w:val="24"/>
          <w:szCs w:val="32"/>
        </w:rPr>
        <w:t>【注：信托财产范围描述，包括过渡期处置收入的入池范围、是否入池，可根据具体项目情况调整。】</w:t>
      </w:r>
    </w:p>
    <w:p w14:paraId="773F588E">
      <w:pPr>
        <w:numPr>
          <w:ilvl w:val="2"/>
          <w:numId w:val="7"/>
        </w:numPr>
        <w:spacing w:line="360" w:lineRule="auto"/>
        <w:ind w:left="1701" w:hanging="708"/>
        <w:rPr>
          <w:rFonts w:eastAsia="楷体_GB2312"/>
          <w:color w:val="000000"/>
          <w:sz w:val="24"/>
        </w:rPr>
      </w:pPr>
      <w:r>
        <w:rPr>
          <w:rFonts w:eastAsia="楷体_GB2312"/>
          <w:b/>
          <w:snapToGrid w:val="0"/>
          <w:kern w:val="28"/>
          <w:sz w:val="24"/>
          <w:szCs w:val="20"/>
        </w:rPr>
        <w:t>信托财产的种类</w:t>
      </w:r>
    </w:p>
    <w:p w14:paraId="54353AB1">
      <w:pPr>
        <w:spacing w:line="360" w:lineRule="auto"/>
        <w:ind w:left="1701"/>
        <w:rPr>
          <w:rFonts w:eastAsia="楷体_GB2312"/>
          <w:color w:val="000000"/>
          <w:sz w:val="24"/>
        </w:rPr>
      </w:pPr>
      <w:r>
        <w:rPr>
          <w:rFonts w:eastAsia="楷体_GB2312"/>
          <w:color w:val="000000"/>
          <w:sz w:val="24"/>
        </w:rPr>
        <w:t>在“初始起算日”</w:t>
      </w:r>
      <w:r>
        <w:rPr>
          <w:rStyle w:val="41"/>
          <w:rFonts w:eastAsia="楷体_GB2312"/>
          <w:color w:val="000000"/>
          <w:w w:val="0"/>
          <w:sz w:val="24"/>
          <w:u w:val="none"/>
        </w:rPr>
        <w:t>【</w:t>
      </w:r>
      <w:r>
        <w:rPr>
          <w:rFonts w:eastAsia="楷体_GB2312"/>
          <w:i/>
          <w:iCs/>
          <w:sz w:val="24"/>
        </w:rPr>
        <w:t>具体时点</w:t>
      </w:r>
      <w:r>
        <w:rPr>
          <w:rStyle w:val="41"/>
          <w:rFonts w:eastAsia="楷体_GB2312"/>
          <w:color w:val="000000"/>
          <w:w w:val="0"/>
          <w:sz w:val="24"/>
          <w:u w:val="none"/>
        </w:rPr>
        <w:t>】</w:t>
      </w:r>
      <w:r>
        <w:rPr>
          <w:rFonts w:eastAsia="楷体_GB2312"/>
          <w:color w:val="000000"/>
          <w:sz w:val="24"/>
        </w:rPr>
        <w:t>，“信托财产”的种类为“【发起机构简称】”向“借款人”发放的且五级分类为次级、可疑、损失的</w:t>
      </w:r>
      <w:r>
        <w:rPr>
          <w:rFonts w:eastAsia="楷体_GB2312"/>
          <w:sz w:val="24"/>
        </w:rPr>
        <w:t>“小微企业贷款”/“个人经营类贷款”/“</w:t>
      </w:r>
      <w:r>
        <w:rPr>
          <w:rFonts w:eastAsia="楷体_GB2312"/>
          <w:color w:val="000000"/>
          <w:sz w:val="24"/>
        </w:rPr>
        <w:t>个人住房抵押贷款</w:t>
      </w:r>
      <w:r>
        <w:rPr>
          <w:rFonts w:eastAsia="楷体_GB2312"/>
          <w:sz w:val="24"/>
        </w:rPr>
        <w:t>”/“个人消费类贷款”/</w:t>
      </w:r>
      <w:r>
        <w:rPr>
          <w:rFonts w:eastAsia="楷体_GB2312"/>
          <w:color w:val="000000" w:themeColor="text1"/>
          <w:sz w:val="24"/>
          <w14:textFill>
            <w14:solidFill>
              <w14:schemeClr w14:val="tx1"/>
            </w14:solidFill>
          </w14:textFill>
        </w:rPr>
        <w:t>“个人汽车贷款”</w:t>
      </w:r>
      <w:r>
        <w:rPr>
          <w:rFonts w:eastAsia="楷体_GB2312"/>
          <w:sz w:val="24"/>
        </w:rPr>
        <w:t>等贷款及其“附属权益”和/或“信用卡债权”【</w:t>
      </w:r>
      <w:r>
        <w:rPr>
          <w:rFonts w:eastAsia="楷体_GB2312"/>
          <w:color w:val="000000"/>
          <w:sz w:val="24"/>
        </w:rPr>
        <w:t>及其“附属权益”（如有）】。</w:t>
      </w:r>
    </w:p>
    <w:p w14:paraId="191982ED">
      <w:pPr>
        <w:spacing w:line="360" w:lineRule="auto"/>
        <w:ind w:left="1620"/>
        <w:rPr>
          <w:rFonts w:eastAsia="楷体_GB2312"/>
          <w:color w:val="000000"/>
          <w:sz w:val="24"/>
        </w:rPr>
      </w:pPr>
      <w:r>
        <w:rPr>
          <w:rFonts w:eastAsia="楷体_GB2312"/>
          <w:b/>
          <w:i/>
          <w:iCs/>
          <w:color w:val="FF0000"/>
          <w:sz w:val="24"/>
        </w:rPr>
        <w:t>【注：此处可根据具体项目的</w:t>
      </w:r>
      <w:r>
        <w:rPr>
          <w:rFonts w:eastAsia="楷体_GB2312"/>
          <w:b/>
          <w:bCs/>
          <w:i/>
          <w:iCs/>
          <w:color w:val="FF0000"/>
          <w:sz w:val="24"/>
        </w:rPr>
        <w:t>不良类小微企业贷款、不良类个人经营贷款、不良类个人住房抵押贷款、不良类个人汽车抵押贷款、不良类个人消费类贷款、不良类信用卡债权类型</w:t>
      </w:r>
      <w:r>
        <w:rPr>
          <w:rFonts w:eastAsia="楷体_GB2312"/>
          <w:b/>
          <w:i/>
          <w:iCs/>
          <w:color w:val="FF0000"/>
          <w:sz w:val="24"/>
        </w:rPr>
        <w:t>调整。】</w:t>
      </w:r>
    </w:p>
    <w:p w14:paraId="02C083C9">
      <w:pPr>
        <w:numPr>
          <w:ilvl w:val="2"/>
          <w:numId w:val="7"/>
        </w:numPr>
        <w:spacing w:line="360" w:lineRule="auto"/>
        <w:ind w:left="1701" w:hanging="708"/>
        <w:rPr>
          <w:rFonts w:eastAsia="楷体_GB2312"/>
          <w:color w:val="000000"/>
          <w:sz w:val="24"/>
        </w:rPr>
      </w:pPr>
      <w:bookmarkStart w:id="66" w:name="_Ref148383488"/>
      <w:r>
        <w:rPr>
          <w:rFonts w:eastAsia="楷体_GB2312"/>
          <w:b/>
          <w:snapToGrid w:val="0"/>
          <w:kern w:val="28"/>
          <w:sz w:val="24"/>
          <w:szCs w:val="20"/>
        </w:rPr>
        <w:t>资产的合格标准</w:t>
      </w:r>
      <w:bookmarkEnd w:id="66"/>
    </w:p>
    <w:p w14:paraId="2E8C66A6">
      <w:pPr>
        <w:spacing w:line="360" w:lineRule="auto"/>
        <w:ind w:left="1701"/>
        <w:rPr>
          <w:rFonts w:eastAsia="楷体_GB2312"/>
          <w:bCs/>
          <w:color w:val="000000"/>
          <w:sz w:val="24"/>
          <w:u w:val="single"/>
        </w:rPr>
      </w:pPr>
      <w:r>
        <w:rPr>
          <w:rFonts w:eastAsia="楷体_GB2312"/>
          <w:color w:val="000000"/>
          <w:sz w:val="24"/>
        </w:rPr>
        <w:t>在“初始起算日”</w:t>
      </w:r>
      <w:r>
        <w:rPr>
          <w:rStyle w:val="41"/>
          <w:rFonts w:eastAsia="楷体_GB2312"/>
          <w:color w:val="000000"/>
          <w:w w:val="0"/>
          <w:sz w:val="24"/>
          <w:u w:val="none"/>
        </w:rPr>
        <w:t>【</w:t>
      </w:r>
      <w:r>
        <w:rPr>
          <w:rFonts w:eastAsia="楷体_GB2312"/>
          <w:i/>
          <w:iCs/>
          <w:sz w:val="24"/>
        </w:rPr>
        <w:t>具体时点</w:t>
      </w:r>
      <w:r>
        <w:rPr>
          <w:rStyle w:val="41"/>
          <w:rFonts w:eastAsia="楷体_GB2312"/>
          <w:color w:val="000000"/>
          <w:w w:val="0"/>
          <w:sz w:val="24"/>
          <w:u w:val="none"/>
        </w:rPr>
        <w:t>】</w:t>
      </w:r>
      <w:r>
        <w:rPr>
          <w:rFonts w:eastAsia="楷体_GB2312"/>
          <w:color w:val="000000"/>
          <w:sz w:val="24"/>
        </w:rPr>
        <w:t>和“信托财产交付日”（“合格标准”另有约定的除外），每一笔“</w:t>
      </w:r>
      <w:r>
        <w:rPr>
          <w:rFonts w:eastAsia="楷体_GB2312"/>
          <w:bCs/>
          <w:snapToGrid w:val="0"/>
          <w:color w:val="000000"/>
          <w:kern w:val="28"/>
          <w:sz w:val="24"/>
          <w:szCs w:val="20"/>
        </w:rPr>
        <w:t>资产</w:t>
      </w:r>
      <w:r>
        <w:rPr>
          <w:rFonts w:eastAsia="楷体_GB2312"/>
          <w:color w:val="000000"/>
          <w:sz w:val="24"/>
        </w:rPr>
        <w:t>”均应符合“合格标准”</w:t>
      </w:r>
      <w:r>
        <w:rPr>
          <w:rFonts w:eastAsia="楷体_GB2312"/>
          <w:bCs/>
          <w:color w:val="000000"/>
          <w:sz w:val="24"/>
        </w:rPr>
        <w:t>。</w:t>
      </w:r>
    </w:p>
    <w:p w14:paraId="5B4AC3B9">
      <w:pPr>
        <w:numPr>
          <w:ilvl w:val="2"/>
          <w:numId w:val="7"/>
        </w:numPr>
        <w:spacing w:line="360" w:lineRule="auto"/>
        <w:ind w:left="1701" w:hanging="708"/>
        <w:rPr>
          <w:rFonts w:eastAsia="楷体_GB2312"/>
          <w:b/>
          <w:color w:val="000000"/>
          <w:sz w:val="24"/>
        </w:rPr>
      </w:pPr>
      <w:r>
        <w:rPr>
          <w:rFonts w:eastAsia="楷体_GB2312"/>
          <w:b/>
          <w:snapToGrid w:val="0"/>
          <w:kern w:val="28"/>
          <w:sz w:val="24"/>
          <w:szCs w:val="20"/>
        </w:rPr>
        <w:t>资产的状况</w:t>
      </w:r>
    </w:p>
    <w:p w14:paraId="5E4383BF">
      <w:pPr>
        <w:spacing w:line="360" w:lineRule="auto"/>
        <w:ind w:left="1701"/>
        <w:rPr>
          <w:rFonts w:eastAsia="楷体_GB2312"/>
          <w:color w:val="000000"/>
          <w:sz w:val="24"/>
        </w:rPr>
      </w:pPr>
      <w:bookmarkStart w:id="67" w:name="_Ref111021078"/>
      <w:r>
        <w:rPr>
          <w:rFonts w:eastAsia="楷体_GB2312"/>
          <w:snapToGrid w:val="0"/>
          <w:kern w:val="28"/>
          <w:sz w:val="24"/>
          <w:szCs w:val="20"/>
        </w:rPr>
        <w:t>截至</w:t>
      </w:r>
      <w:r>
        <w:rPr>
          <w:rFonts w:eastAsia="楷体_GB2312"/>
          <w:color w:val="000000"/>
          <w:sz w:val="24"/>
        </w:rPr>
        <w:t>“初始起算日”</w:t>
      </w:r>
      <w:r>
        <w:rPr>
          <w:rStyle w:val="41"/>
          <w:rFonts w:eastAsia="楷体_GB2312"/>
          <w:color w:val="000000"/>
          <w:w w:val="0"/>
          <w:sz w:val="24"/>
          <w:u w:val="none"/>
        </w:rPr>
        <w:t>【</w:t>
      </w:r>
      <w:r>
        <w:rPr>
          <w:rFonts w:eastAsia="楷体_GB2312"/>
          <w:i/>
          <w:iCs/>
          <w:sz w:val="24"/>
        </w:rPr>
        <w:t>具体时点</w:t>
      </w:r>
      <w:r>
        <w:rPr>
          <w:rStyle w:val="41"/>
          <w:rFonts w:eastAsia="楷体_GB2312"/>
          <w:color w:val="000000"/>
          <w:w w:val="0"/>
          <w:sz w:val="24"/>
          <w:u w:val="none"/>
        </w:rPr>
        <w:t>】</w:t>
      </w:r>
      <w:r>
        <w:rPr>
          <w:rFonts w:eastAsia="楷体_GB2312"/>
          <w:color w:val="000000"/>
          <w:sz w:val="24"/>
        </w:rPr>
        <w:t>，每一笔“</w:t>
      </w:r>
      <w:r>
        <w:rPr>
          <w:rFonts w:eastAsia="楷体_GB2312"/>
          <w:bCs/>
          <w:snapToGrid w:val="0"/>
          <w:color w:val="000000"/>
          <w:kern w:val="28"/>
          <w:sz w:val="24"/>
          <w:szCs w:val="20"/>
        </w:rPr>
        <w:t>资产</w:t>
      </w:r>
      <w:r>
        <w:rPr>
          <w:rFonts w:eastAsia="楷体_GB2312"/>
          <w:color w:val="000000"/>
          <w:sz w:val="24"/>
        </w:rPr>
        <w:t>”的状况详见“资产清单”（格式见本合同</w:t>
      </w:r>
      <w:r>
        <w:rPr>
          <w:rFonts w:eastAsia="楷体_GB2312"/>
          <w:i/>
          <w:iCs/>
          <w:color w:val="000000"/>
          <w:sz w:val="24"/>
        </w:rPr>
        <w:t>【</w:t>
      </w:r>
      <w:r>
        <w:rPr>
          <w:rFonts w:eastAsia="楷体_GB2312"/>
          <w:b/>
          <w:bCs/>
          <w:i/>
          <w:iCs/>
          <w:color w:val="000000"/>
          <w:sz w:val="24"/>
        </w:rPr>
        <w:t>附件一</w:t>
      </w:r>
      <w:r>
        <w:rPr>
          <w:rFonts w:eastAsia="楷体_GB2312"/>
          <w:i/>
          <w:iCs/>
          <w:color w:val="000000"/>
          <w:sz w:val="24"/>
        </w:rPr>
        <w:t>】</w:t>
      </w:r>
      <w:r>
        <w:rPr>
          <w:rFonts w:eastAsia="楷体_GB2312"/>
          <w:color w:val="000000"/>
          <w:sz w:val="24"/>
        </w:rPr>
        <w:t>）。</w:t>
      </w:r>
      <w:bookmarkEnd w:id="67"/>
    </w:p>
    <w:p w14:paraId="5F2213AC">
      <w:pPr>
        <w:numPr>
          <w:ilvl w:val="1"/>
          <w:numId w:val="7"/>
        </w:numPr>
        <w:spacing w:line="360" w:lineRule="auto"/>
        <w:rPr>
          <w:rFonts w:eastAsia="楷体_GB2312"/>
          <w:b/>
          <w:color w:val="000000"/>
          <w:sz w:val="24"/>
        </w:rPr>
      </w:pPr>
      <w:bookmarkStart w:id="68" w:name="_Ref331515114"/>
      <w:r>
        <w:rPr>
          <w:rFonts w:eastAsia="楷体_GB2312"/>
          <w:b/>
          <w:color w:val="000000"/>
          <w:sz w:val="24"/>
        </w:rPr>
        <w:t>信托设立的前提条件</w:t>
      </w:r>
      <w:bookmarkEnd w:id="68"/>
    </w:p>
    <w:p w14:paraId="39598CCB">
      <w:pPr>
        <w:spacing w:line="360" w:lineRule="auto"/>
        <w:ind w:left="992"/>
        <w:rPr>
          <w:rFonts w:eastAsia="楷体_GB2312"/>
          <w:color w:val="000000"/>
          <w:sz w:val="24"/>
        </w:rPr>
      </w:pPr>
      <w:r>
        <w:rPr>
          <w:rFonts w:eastAsia="楷体_GB2312"/>
          <w:color w:val="000000"/>
          <w:sz w:val="24"/>
        </w:rPr>
        <w:t>“委托人”</w:t>
      </w:r>
      <w:r>
        <w:rPr>
          <w:rFonts w:eastAsia="楷体_GB2312"/>
          <w:color w:val="000000"/>
          <w:sz w:val="24"/>
          <w:lang w:val="en-GB"/>
        </w:rPr>
        <w:t>于“信托生效日”将“资产池”信托予“受托人”，“受托人”于“信托生效日”接受该“资产池”并于“信托生效日”设立“信托”，都以下列先决条件在“信托生效日”当日或之前得到满足（或被有权方放弃）为前提，且“信托”在下列全部条件满足</w:t>
      </w:r>
      <w:r>
        <w:rPr>
          <w:rFonts w:eastAsia="楷体_GB2312"/>
          <w:sz w:val="24"/>
        </w:rPr>
        <w:t>（或被有权方放弃）</w:t>
      </w:r>
      <w:r>
        <w:rPr>
          <w:rFonts w:eastAsia="楷体_GB2312"/>
          <w:color w:val="000000"/>
          <w:sz w:val="24"/>
          <w:lang w:val="en-GB"/>
        </w:rPr>
        <w:t>后设立并生效</w:t>
      </w:r>
      <w:r>
        <w:rPr>
          <w:rFonts w:eastAsia="楷体_GB2312"/>
          <w:color w:val="000000"/>
          <w:sz w:val="24"/>
        </w:rPr>
        <w:t>：</w:t>
      </w:r>
    </w:p>
    <w:p w14:paraId="3B7B2362">
      <w:pPr>
        <w:numPr>
          <w:ilvl w:val="0"/>
          <w:numId w:val="10"/>
        </w:numPr>
        <w:spacing w:line="360" w:lineRule="auto"/>
        <w:rPr>
          <w:rFonts w:eastAsia="楷体_GB2312"/>
          <w:color w:val="000000"/>
          <w:sz w:val="24"/>
        </w:rPr>
      </w:pPr>
      <w:r>
        <w:rPr>
          <w:rFonts w:eastAsia="楷体_GB2312"/>
          <w:color w:val="000000"/>
          <w:sz w:val="24"/>
        </w:rPr>
        <w:t>“委托人”已向“受托人”交付了“委托人”的金融许可证、营业执照以及批准“委托人”签署相关“交易文件”以及进行本合同项下交易的董事会决议和/或其他必要的公司文件、批文或授权书的复印件（如有）；</w:t>
      </w:r>
    </w:p>
    <w:p w14:paraId="7E09460F">
      <w:pPr>
        <w:numPr>
          <w:ilvl w:val="0"/>
          <w:numId w:val="10"/>
        </w:numPr>
        <w:spacing w:line="360" w:lineRule="auto"/>
        <w:rPr>
          <w:rFonts w:eastAsia="楷体_GB2312"/>
          <w:color w:val="000000"/>
          <w:sz w:val="24"/>
        </w:rPr>
      </w:pPr>
      <w:r>
        <w:rPr>
          <w:rFonts w:eastAsia="楷体_GB2312"/>
          <w:color w:val="000000"/>
          <w:sz w:val="24"/>
        </w:rPr>
        <w:t>“受托人”已向“委托人”交付了“受托人”的金融许可证、营业执照以及批准“受托人”签署“交易文件”以及进行本合同项下的交易的必要的公司文件、批文或授权书的复印件</w:t>
      </w:r>
      <w:r>
        <w:rPr>
          <w:rFonts w:eastAsia="楷体_GB2312"/>
          <w:sz w:val="24"/>
        </w:rPr>
        <w:t>（如有）</w:t>
      </w:r>
      <w:r>
        <w:rPr>
          <w:rFonts w:eastAsia="楷体_GB2312"/>
          <w:color w:val="000000"/>
          <w:sz w:val="24"/>
        </w:rPr>
        <w:t>；</w:t>
      </w:r>
    </w:p>
    <w:p w14:paraId="44D19706">
      <w:pPr>
        <w:numPr>
          <w:ilvl w:val="0"/>
          <w:numId w:val="10"/>
        </w:numPr>
        <w:spacing w:line="360" w:lineRule="auto"/>
        <w:rPr>
          <w:rFonts w:eastAsia="楷体_GB2312"/>
          <w:color w:val="000000"/>
          <w:sz w:val="24"/>
        </w:rPr>
      </w:pPr>
      <w:r>
        <w:rPr>
          <w:rFonts w:eastAsia="楷体_GB2312"/>
          <w:color w:val="000000"/>
          <w:sz w:val="24"/>
        </w:rPr>
        <w:t>“贷款服务机构”、“资金保管机构”、“主承销商”已分别向“受托人”交付了批准或授权其签署相关“交易文件”、行使其权利和履行其义务所必备的全部内部（包括但不限于公司文件、批文或授权书）的、“政府机构”的和第三方的批准和授权文件的复印件</w:t>
      </w:r>
      <w:r>
        <w:rPr>
          <w:rFonts w:eastAsia="楷体_GB2312"/>
          <w:sz w:val="24"/>
        </w:rPr>
        <w:t>（如有）</w:t>
      </w:r>
      <w:r>
        <w:rPr>
          <w:rFonts w:eastAsia="楷体_GB2312"/>
          <w:color w:val="000000"/>
          <w:sz w:val="24"/>
        </w:rPr>
        <w:t>；</w:t>
      </w:r>
    </w:p>
    <w:p w14:paraId="379B9879">
      <w:pPr>
        <w:numPr>
          <w:ilvl w:val="0"/>
          <w:numId w:val="10"/>
        </w:numPr>
        <w:spacing w:line="360" w:lineRule="auto"/>
        <w:rPr>
          <w:rFonts w:eastAsia="楷体_GB2312"/>
          <w:color w:val="000000"/>
          <w:sz w:val="24"/>
        </w:rPr>
      </w:pPr>
      <w:r>
        <w:rPr>
          <w:rFonts w:eastAsia="楷体_GB2312"/>
          <w:color w:val="000000"/>
          <w:sz w:val="24"/>
        </w:rPr>
        <w:t>“《主定义表》”、“《信托合同》”、“《服务合同》”、“《资金保管合同》”、“《主承销协议》”的相关各方已向“受托人”和该等文件的其他各方交付了经其妥为签署的该等文件正本；</w:t>
      </w:r>
    </w:p>
    <w:p w14:paraId="673524E2">
      <w:pPr>
        <w:numPr>
          <w:ilvl w:val="0"/>
          <w:numId w:val="10"/>
        </w:numPr>
        <w:spacing w:line="360" w:lineRule="auto"/>
        <w:rPr>
          <w:rFonts w:eastAsia="楷体_GB2312"/>
          <w:color w:val="000000"/>
          <w:sz w:val="24"/>
        </w:rPr>
      </w:pPr>
      <w:r>
        <w:rPr>
          <w:rFonts w:eastAsia="楷体_GB2312"/>
          <w:color w:val="000000"/>
          <w:sz w:val="24"/>
        </w:rPr>
        <w:t>“委托人”和“受托人”已在“银登中心”办理完毕【信托名称】产品的信息初始登记；</w:t>
      </w:r>
    </w:p>
    <w:p w14:paraId="7CD4E484">
      <w:pPr>
        <w:numPr>
          <w:ilvl w:val="0"/>
          <w:numId w:val="10"/>
        </w:numPr>
        <w:spacing w:line="360" w:lineRule="auto"/>
        <w:rPr>
          <w:rFonts w:eastAsia="楷体_GB2312"/>
          <w:color w:val="000000"/>
          <w:sz w:val="24"/>
        </w:rPr>
      </w:pPr>
      <w:r>
        <w:rPr>
          <w:rFonts w:eastAsia="楷体_GB2312"/>
          <w:color w:val="000000"/>
          <w:sz w:val="24"/>
        </w:rPr>
        <w:t>“受托人”已获得“人民银行”关于注册发行【证券名称】的许可和发行本期“资产支持证券”的备案；</w:t>
      </w:r>
    </w:p>
    <w:p w14:paraId="0E4F83CF">
      <w:pPr>
        <w:numPr>
          <w:ilvl w:val="0"/>
          <w:numId w:val="10"/>
        </w:numPr>
        <w:spacing w:line="360" w:lineRule="auto"/>
        <w:rPr>
          <w:rFonts w:eastAsia="楷体_GB2312"/>
          <w:color w:val="000000"/>
          <w:sz w:val="24"/>
        </w:rPr>
      </w:pPr>
      <w:r>
        <w:rPr>
          <w:rFonts w:eastAsia="楷体_GB2312"/>
          <w:color w:val="000000"/>
          <w:kern w:val="0"/>
          <w:sz w:val="24"/>
        </w:rPr>
        <w:t>“会计顾问/税务顾问”</w:t>
      </w:r>
      <w:r>
        <w:rPr>
          <w:rFonts w:eastAsia="楷体_GB2312"/>
          <w:color w:val="000000"/>
          <w:sz w:val="24"/>
        </w:rPr>
        <w:t>已就“资产池”信托予“受托人”出具了执行商定程序的报告、会计处理意见和税务意见；</w:t>
      </w:r>
    </w:p>
    <w:p w14:paraId="1B804663">
      <w:pPr>
        <w:pStyle w:val="144"/>
        <w:numPr>
          <w:ilvl w:val="0"/>
          <w:numId w:val="10"/>
        </w:numPr>
        <w:spacing w:line="360" w:lineRule="auto"/>
        <w:ind w:firstLineChars="0"/>
        <w:rPr>
          <w:rFonts w:eastAsia="楷体_GB2312"/>
          <w:color w:val="000000"/>
          <w:sz w:val="24"/>
        </w:rPr>
      </w:pPr>
      <w:r>
        <w:rPr>
          <w:rFonts w:eastAsia="楷体_GB2312"/>
          <w:b/>
          <w:bCs/>
          <w:i/>
          <w:iCs/>
          <w:color w:val="FF0000"/>
          <w:sz w:val="24"/>
        </w:rPr>
        <w:t>【注：仅适用于资产涉及评估的情形。】</w:t>
      </w:r>
      <w:r>
        <w:rPr>
          <w:rFonts w:eastAsia="楷体_GB2312"/>
          <w:color w:val="000000"/>
          <w:sz w:val="24"/>
        </w:rPr>
        <w:t>“评估机构”已向“委托人”和“受托人”出具评估报告或价值分析报告；</w:t>
      </w:r>
    </w:p>
    <w:p w14:paraId="2319018F">
      <w:pPr>
        <w:numPr>
          <w:ilvl w:val="0"/>
          <w:numId w:val="10"/>
        </w:numPr>
        <w:spacing w:line="360" w:lineRule="auto"/>
        <w:rPr>
          <w:rFonts w:eastAsia="楷体_GB2312"/>
          <w:color w:val="000000"/>
        </w:rPr>
      </w:pPr>
      <w:r>
        <w:rPr>
          <w:rFonts w:eastAsia="楷体_GB2312"/>
          <w:color w:val="000000"/>
          <w:sz w:val="24"/>
        </w:rPr>
        <w:t>“法律顾问”已经向“委托人”和“受托人”出具了法律意见书和尽职调查报告；以及</w:t>
      </w:r>
    </w:p>
    <w:p w14:paraId="115D8A44">
      <w:pPr>
        <w:numPr>
          <w:ilvl w:val="0"/>
          <w:numId w:val="10"/>
        </w:numPr>
        <w:spacing w:line="360" w:lineRule="auto"/>
        <w:rPr>
          <w:rFonts w:eastAsia="楷体_GB2312"/>
          <w:b/>
          <w:color w:val="000000"/>
          <w:sz w:val="24"/>
        </w:rPr>
      </w:pPr>
      <w:bookmarkStart w:id="69" w:name="_Ref331515210"/>
      <w:r>
        <w:rPr>
          <w:rFonts w:eastAsia="楷体_GB2312"/>
          <w:color w:val="000000"/>
          <w:sz w:val="24"/>
        </w:rPr>
        <w:t>“委托人”和“受托人”已按照本合同第</w:t>
      </w:r>
      <w:r>
        <w:rPr>
          <w:rFonts w:eastAsia="楷体_GB2312"/>
          <w:color w:val="000000"/>
          <w:sz w:val="24"/>
        </w:rPr>
        <w:fldChar w:fldCharType="begin"/>
      </w:r>
      <w:r>
        <w:rPr>
          <w:rFonts w:eastAsia="楷体_GB2312"/>
          <w:color w:val="000000"/>
          <w:sz w:val="24"/>
        </w:rPr>
        <w:instrText xml:space="preserve"> REF _Ref221086829 \r \h  \* MERGEFORMAT </w:instrText>
      </w:r>
      <w:r>
        <w:rPr>
          <w:rFonts w:eastAsia="楷体_GB2312"/>
          <w:color w:val="000000"/>
          <w:sz w:val="24"/>
        </w:rPr>
        <w:fldChar w:fldCharType="separate"/>
      </w:r>
      <w:r>
        <w:rPr>
          <w:rFonts w:eastAsia="楷体_GB2312"/>
          <w:color w:val="000000"/>
          <w:sz w:val="24"/>
        </w:rPr>
        <w:t>3.10.1</w:t>
      </w:r>
      <w:r>
        <w:rPr>
          <w:rFonts w:eastAsia="楷体_GB2312"/>
          <w:color w:val="000000"/>
          <w:sz w:val="24"/>
        </w:rPr>
        <w:fldChar w:fldCharType="end"/>
      </w:r>
      <w:r>
        <w:rPr>
          <w:rFonts w:eastAsia="楷体_GB2312"/>
          <w:color w:val="000000"/>
          <w:sz w:val="24"/>
        </w:rPr>
        <w:t>款至第</w:t>
      </w:r>
      <w:r>
        <w:rPr>
          <w:rFonts w:eastAsia="楷体_GB2312"/>
          <w:color w:val="000000"/>
          <w:sz w:val="24"/>
        </w:rPr>
        <w:fldChar w:fldCharType="begin"/>
      </w:r>
      <w:r>
        <w:rPr>
          <w:rFonts w:eastAsia="楷体_GB2312"/>
          <w:color w:val="000000"/>
          <w:sz w:val="24"/>
        </w:rPr>
        <w:instrText xml:space="preserve"> REF _Ref221050744 \r \h  \* MERGEFORMAT </w:instrText>
      </w:r>
      <w:r>
        <w:rPr>
          <w:rFonts w:eastAsia="楷体_GB2312"/>
          <w:color w:val="000000"/>
          <w:sz w:val="24"/>
        </w:rPr>
        <w:fldChar w:fldCharType="separate"/>
      </w:r>
      <w:r>
        <w:rPr>
          <w:rFonts w:eastAsia="楷体_GB2312"/>
          <w:color w:val="000000"/>
          <w:sz w:val="24"/>
        </w:rPr>
        <w:t>3.10.3</w:t>
      </w:r>
      <w:r>
        <w:rPr>
          <w:rFonts w:eastAsia="楷体_GB2312"/>
          <w:color w:val="000000"/>
          <w:sz w:val="24"/>
        </w:rPr>
        <w:fldChar w:fldCharType="end"/>
      </w:r>
      <w:r>
        <w:rPr>
          <w:rFonts w:eastAsia="楷体_GB2312"/>
          <w:color w:val="000000"/>
          <w:sz w:val="24"/>
        </w:rPr>
        <w:t>款的约定完成“信托财产”的交付。</w:t>
      </w:r>
      <w:bookmarkEnd w:id="69"/>
    </w:p>
    <w:p w14:paraId="4C8E18D6">
      <w:pPr>
        <w:spacing w:line="360" w:lineRule="auto"/>
        <w:ind w:left="1412"/>
        <w:rPr>
          <w:rFonts w:eastAsia="楷体_GB2312"/>
          <w:b/>
          <w:bCs/>
          <w:i/>
          <w:iCs/>
          <w:color w:val="FF0000"/>
          <w:sz w:val="24"/>
        </w:rPr>
      </w:pPr>
      <w:r>
        <w:rPr>
          <w:rFonts w:eastAsia="楷体_GB2312"/>
          <w:b/>
          <w:bCs/>
          <w:i/>
          <w:iCs/>
          <w:color w:val="FF0000"/>
          <w:sz w:val="24"/>
        </w:rPr>
        <w:t>【注：信托设立的前提条件请结合项目实际情况一一确认和调整（如需）。】</w:t>
      </w:r>
    </w:p>
    <w:p w14:paraId="025BA42F">
      <w:pPr>
        <w:numPr>
          <w:ilvl w:val="1"/>
          <w:numId w:val="7"/>
        </w:numPr>
        <w:spacing w:line="360" w:lineRule="auto"/>
        <w:rPr>
          <w:rFonts w:eastAsia="楷体_GB2312"/>
          <w:color w:val="000000"/>
          <w:sz w:val="24"/>
        </w:rPr>
      </w:pPr>
      <w:bookmarkStart w:id="70" w:name="_Ref201652815"/>
      <w:bookmarkStart w:id="71" w:name="_Ref201576687"/>
      <w:bookmarkStart w:id="72" w:name="_Toc201569381"/>
      <w:r>
        <w:rPr>
          <w:rFonts w:eastAsia="楷体_GB2312"/>
          <w:b/>
          <w:color w:val="000000"/>
          <w:sz w:val="24"/>
        </w:rPr>
        <w:t>信托公告</w:t>
      </w:r>
    </w:p>
    <w:p w14:paraId="10B65BC5">
      <w:pPr>
        <w:tabs>
          <w:tab w:val="left" w:pos="992"/>
        </w:tabs>
        <w:spacing w:line="360" w:lineRule="auto"/>
        <w:ind w:left="992"/>
        <w:rPr>
          <w:rFonts w:eastAsia="楷体_GB2312"/>
          <w:color w:val="000000"/>
          <w:sz w:val="24"/>
        </w:rPr>
      </w:pPr>
      <w:r>
        <w:rPr>
          <w:rFonts w:eastAsia="楷体_GB2312"/>
          <w:color w:val="000000"/>
          <w:sz w:val="24"/>
        </w:rPr>
        <w:t>“委托人”与“受托人”应于“信托生效日”前根据相关</w:t>
      </w:r>
      <w:r>
        <w:rPr>
          <w:rFonts w:eastAsia="楷体_GB2312"/>
          <w:bCs/>
          <w:color w:val="000000"/>
          <w:sz w:val="24"/>
        </w:rPr>
        <w:t>“</w:t>
      </w:r>
      <w:r>
        <w:rPr>
          <w:rFonts w:eastAsia="楷体_GB2312"/>
          <w:color w:val="000000"/>
          <w:sz w:val="24"/>
        </w:rPr>
        <w:t>中国”“法律”的规定在全国性媒体上发布公告，将“资产池”设立“信托”之事宜予以公布。“信托”公告费用由“信托财产”承担。</w:t>
      </w:r>
    </w:p>
    <w:bookmarkEnd w:id="70"/>
    <w:bookmarkEnd w:id="71"/>
    <w:bookmarkEnd w:id="72"/>
    <w:p w14:paraId="3EEB4CFD">
      <w:pPr>
        <w:numPr>
          <w:ilvl w:val="1"/>
          <w:numId w:val="7"/>
        </w:numPr>
        <w:spacing w:line="360" w:lineRule="auto"/>
        <w:rPr>
          <w:rFonts w:eastAsia="楷体_GB2312"/>
          <w:b/>
          <w:snapToGrid w:val="0"/>
          <w:kern w:val="28"/>
          <w:sz w:val="24"/>
          <w:szCs w:val="20"/>
        </w:rPr>
      </w:pPr>
      <w:bookmarkStart w:id="73" w:name="_Ref333404977"/>
      <w:r>
        <w:rPr>
          <w:rFonts w:eastAsia="楷体_GB2312"/>
          <w:b/>
          <w:color w:val="000000"/>
          <w:sz w:val="24"/>
        </w:rPr>
        <w:t>信托财产</w:t>
      </w:r>
      <w:r>
        <w:rPr>
          <w:rFonts w:eastAsia="楷体_GB2312"/>
          <w:b/>
          <w:snapToGrid w:val="0"/>
          <w:kern w:val="28"/>
          <w:sz w:val="24"/>
          <w:szCs w:val="20"/>
        </w:rPr>
        <w:t>的交付</w:t>
      </w:r>
      <w:bookmarkEnd w:id="73"/>
    </w:p>
    <w:p w14:paraId="63F56E22">
      <w:pPr>
        <w:tabs>
          <w:tab w:val="left" w:pos="992"/>
        </w:tabs>
        <w:spacing w:line="360" w:lineRule="auto"/>
        <w:ind w:left="992"/>
        <w:rPr>
          <w:rFonts w:eastAsia="楷体_GB2312"/>
          <w:b/>
          <w:color w:val="FF0000"/>
          <w:sz w:val="24"/>
        </w:rPr>
      </w:pPr>
      <w:r>
        <w:rPr>
          <w:rFonts w:eastAsia="楷体_GB2312"/>
          <w:b/>
          <w:bCs/>
          <w:i/>
          <w:iCs/>
          <w:color w:val="FF0000"/>
          <w:sz w:val="24"/>
        </w:rPr>
        <w:t>【注：信托财产的交付形式可根据具体项目情况调整。】</w:t>
      </w:r>
    </w:p>
    <w:p w14:paraId="598F0197">
      <w:pPr>
        <w:numPr>
          <w:ilvl w:val="2"/>
          <w:numId w:val="7"/>
        </w:numPr>
        <w:spacing w:line="360" w:lineRule="auto"/>
        <w:ind w:left="1560" w:hanging="709"/>
        <w:rPr>
          <w:rFonts w:eastAsia="楷体_GB2312"/>
          <w:color w:val="000000"/>
          <w:sz w:val="24"/>
        </w:rPr>
      </w:pPr>
      <w:bookmarkStart w:id="74" w:name="_Ref221086829"/>
      <w:bookmarkStart w:id="75" w:name="_Ref217566693"/>
      <w:bookmarkStart w:id="76" w:name="_Ref47801175"/>
      <w:bookmarkStart w:id="77" w:name="_Ref38314400"/>
      <w:bookmarkStart w:id="78" w:name="_Ref340169521"/>
      <w:bookmarkStart w:id="79" w:name="_Ref449357364"/>
      <w:r>
        <w:rPr>
          <w:rFonts w:eastAsia="楷体_GB2312"/>
          <w:color w:val="000000"/>
          <w:sz w:val="24"/>
        </w:rPr>
        <w:t>本</w:t>
      </w:r>
      <w:r>
        <w:rPr>
          <w:rFonts w:eastAsia="楷体_GB2312"/>
          <w:snapToGrid w:val="0"/>
          <w:kern w:val="28"/>
          <w:sz w:val="24"/>
          <w:szCs w:val="20"/>
        </w:rPr>
        <w:t>合同</w:t>
      </w:r>
      <w:r>
        <w:rPr>
          <w:rFonts w:eastAsia="楷体_GB2312"/>
          <w:color w:val="000000"/>
          <w:sz w:val="24"/>
        </w:rPr>
        <w:t>第</w:t>
      </w:r>
      <w:r>
        <w:rPr>
          <w:rFonts w:eastAsia="楷体_GB2312"/>
          <w:color w:val="000000"/>
          <w:sz w:val="24"/>
        </w:rPr>
        <w:fldChar w:fldCharType="begin"/>
      </w:r>
      <w:r>
        <w:rPr>
          <w:rFonts w:eastAsia="楷体_GB2312"/>
          <w:color w:val="000000"/>
          <w:sz w:val="24"/>
        </w:rPr>
        <w:instrText xml:space="preserve"> REF _Ref331515114 \r \h  \* MERGEFORMAT </w:instrText>
      </w:r>
      <w:r>
        <w:rPr>
          <w:rFonts w:eastAsia="楷体_GB2312"/>
          <w:color w:val="000000"/>
          <w:sz w:val="24"/>
        </w:rPr>
        <w:fldChar w:fldCharType="separate"/>
      </w:r>
      <w:r>
        <w:rPr>
          <w:rFonts w:eastAsia="楷体_GB2312"/>
          <w:color w:val="000000"/>
          <w:sz w:val="24"/>
        </w:rPr>
        <w:t>3.8</w:t>
      </w:r>
      <w:r>
        <w:rPr>
          <w:rFonts w:eastAsia="楷体_GB2312"/>
          <w:color w:val="000000"/>
          <w:sz w:val="24"/>
        </w:rPr>
        <w:fldChar w:fldCharType="end"/>
      </w:r>
      <w:r>
        <w:rPr>
          <w:rFonts w:eastAsia="楷体_GB2312"/>
          <w:color w:val="000000"/>
          <w:sz w:val="24"/>
        </w:rPr>
        <w:t>款约定的条件均已满足</w:t>
      </w:r>
      <w:r>
        <w:rPr>
          <w:rFonts w:eastAsia="楷体_GB2312"/>
          <w:color w:val="000000"/>
          <w:sz w:val="24"/>
          <w:lang w:val="en-GB"/>
        </w:rPr>
        <w:t>或被放弃</w:t>
      </w:r>
      <w:r>
        <w:rPr>
          <w:rFonts w:eastAsia="楷体_GB2312"/>
          <w:color w:val="000000"/>
          <w:sz w:val="24"/>
        </w:rPr>
        <w:t>的（但本合同第</w:t>
      </w:r>
      <w:r>
        <w:rPr>
          <w:rFonts w:eastAsia="楷体_GB2312"/>
          <w:color w:val="000000"/>
          <w:sz w:val="24"/>
        </w:rPr>
        <w:fldChar w:fldCharType="begin"/>
      </w:r>
      <w:r>
        <w:rPr>
          <w:rFonts w:eastAsia="楷体_GB2312"/>
          <w:color w:val="000000"/>
          <w:sz w:val="24"/>
        </w:rPr>
        <w:instrText xml:space="preserve"> REF _Ref331515114 \r \h  \* MERGEFORMAT </w:instrText>
      </w:r>
      <w:r>
        <w:rPr>
          <w:rFonts w:eastAsia="楷体_GB2312"/>
          <w:color w:val="000000"/>
          <w:sz w:val="24"/>
        </w:rPr>
        <w:fldChar w:fldCharType="separate"/>
      </w:r>
      <w:r>
        <w:rPr>
          <w:rFonts w:eastAsia="楷体_GB2312"/>
          <w:color w:val="000000"/>
          <w:sz w:val="24"/>
        </w:rPr>
        <w:t>3.8</w:t>
      </w:r>
      <w:r>
        <w:rPr>
          <w:rFonts w:eastAsia="楷体_GB2312"/>
          <w:color w:val="000000"/>
          <w:sz w:val="24"/>
        </w:rPr>
        <w:fldChar w:fldCharType="end"/>
      </w:r>
      <w:r>
        <w:rPr>
          <w:rFonts w:eastAsia="楷体_GB2312"/>
          <w:color w:val="000000"/>
          <w:sz w:val="24"/>
        </w:rPr>
        <w:t>款第</w:t>
      </w:r>
      <w:r>
        <w:rPr>
          <w:rFonts w:eastAsia="楷体_GB2312"/>
          <w:color w:val="000000"/>
        </w:rPr>
        <w:fldChar w:fldCharType="begin"/>
      </w:r>
      <w:r>
        <w:rPr>
          <w:rFonts w:eastAsia="楷体_GB2312"/>
          <w:color w:val="000000"/>
        </w:rPr>
        <w:instrText xml:space="preserve"> REF _Ref331515210 \r \h  \* MERGEFORMAT </w:instrText>
      </w:r>
      <w:r>
        <w:rPr>
          <w:rFonts w:eastAsia="楷体_GB2312"/>
          <w:color w:val="000000"/>
        </w:rPr>
        <w:fldChar w:fldCharType="separate"/>
      </w:r>
      <w:r>
        <w:rPr>
          <w:rFonts w:eastAsia="楷体_GB2312"/>
          <w:color w:val="000000"/>
          <w:sz w:val="24"/>
        </w:rPr>
        <w:t>(10)</w:t>
      </w:r>
      <w:r>
        <w:rPr>
          <w:rFonts w:eastAsia="楷体_GB2312"/>
          <w:color w:val="000000"/>
        </w:rPr>
        <w:fldChar w:fldCharType="end"/>
      </w:r>
      <w:r>
        <w:rPr>
          <w:rFonts w:eastAsia="楷体_GB2312"/>
          <w:color w:val="000000"/>
          <w:sz w:val="24"/>
        </w:rPr>
        <w:t>项除外），“委托人”应不迟于“信托财产交付日”【</w:t>
      </w:r>
      <w:r>
        <w:rPr>
          <w:rFonts w:eastAsia="楷体_GB2312"/>
          <w:i/>
          <w:iCs/>
          <w:color w:val="000000"/>
          <w:sz w:val="24"/>
        </w:rPr>
        <w:t>具体时点</w:t>
      </w:r>
      <w:r>
        <w:rPr>
          <w:rFonts w:eastAsia="楷体_GB2312"/>
          <w:color w:val="000000"/>
          <w:sz w:val="24"/>
        </w:rPr>
        <w:t>】将完整的“资产清单”以“受托人”接受的形式交付给“受托人”。该“资产清单”的交付即视为“委托人”已将本合同第</w:t>
      </w:r>
      <w:r>
        <w:rPr>
          <w:rFonts w:eastAsia="楷体_GB2312"/>
          <w:color w:val="000000"/>
          <w:sz w:val="24"/>
        </w:rPr>
        <w:fldChar w:fldCharType="begin"/>
      </w:r>
      <w:r>
        <w:rPr>
          <w:rFonts w:eastAsia="楷体_GB2312"/>
          <w:color w:val="000000"/>
          <w:sz w:val="24"/>
        </w:rPr>
        <w:instrText xml:space="preserve"> REF _Ref336003152 \r \h  \* MERGEFORMAT </w:instrText>
      </w:r>
      <w:r>
        <w:rPr>
          <w:rFonts w:eastAsia="楷体_GB2312"/>
          <w:color w:val="000000"/>
          <w:sz w:val="24"/>
        </w:rPr>
        <w:fldChar w:fldCharType="separate"/>
      </w:r>
      <w:r>
        <w:rPr>
          <w:rFonts w:eastAsia="楷体_GB2312"/>
          <w:color w:val="000000"/>
          <w:sz w:val="24"/>
        </w:rPr>
        <w:t>3.6.1</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_Ref458371191 \r \h  \* MERGEFORMAT </w:instrText>
      </w:r>
      <w:r>
        <w:rPr>
          <w:rFonts w:eastAsia="楷体_GB2312"/>
          <w:color w:val="000000"/>
          <w:sz w:val="24"/>
        </w:rPr>
        <w:fldChar w:fldCharType="separate"/>
      </w:r>
      <w:r>
        <w:rPr>
          <w:rFonts w:eastAsia="楷体_GB2312"/>
          <w:color w:val="000000"/>
          <w:sz w:val="24"/>
        </w:rPr>
        <w:t>(1)</w:t>
      </w:r>
      <w:r>
        <w:rPr>
          <w:rFonts w:eastAsia="楷体_GB2312"/>
          <w:color w:val="000000"/>
          <w:sz w:val="24"/>
        </w:rPr>
        <w:fldChar w:fldCharType="end"/>
      </w:r>
      <w:r>
        <w:rPr>
          <w:rFonts w:eastAsia="楷体_GB2312"/>
          <w:color w:val="000000"/>
          <w:sz w:val="24"/>
        </w:rPr>
        <w:t>项所列之“资产”的权属转移给“受托人”。</w:t>
      </w:r>
      <w:bookmarkEnd w:id="74"/>
    </w:p>
    <w:p w14:paraId="5E3CE5A1">
      <w:pPr>
        <w:numPr>
          <w:ilvl w:val="2"/>
          <w:numId w:val="7"/>
        </w:numPr>
        <w:spacing w:line="360" w:lineRule="auto"/>
        <w:ind w:left="1560" w:hanging="709"/>
        <w:rPr>
          <w:rFonts w:eastAsia="楷体_GB2312"/>
          <w:color w:val="000000"/>
          <w:sz w:val="24"/>
        </w:rPr>
      </w:pPr>
      <w:r>
        <w:rPr>
          <w:rFonts w:eastAsia="楷体_GB2312"/>
          <w:color w:val="000000"/>
          <w:sz w:val="24"/>
        </w:rPr>
        <w:t>在“委托人”完成“资产清单”的交付后，“受托人”应在当日向“委托人”出具“信托财产”已经接收的确认函（格式见本合同</w:t>
      </w:r>
      <w:r>
        <w:rPr>
          <w:rFonts w:eastAsia="楷体_GB2312"/>
          <w:b/>
          <w:i/>
          <w:color w:val="000000"/>
          <w:sz w:val="24"/>
        </w:rPr>
        <w:t>附件二</w:t>
      </w:r>
      <w:r>
        <w:rPr>
          <w:rFonts w:eastAsia="楷体_GB2312"/>
          <w:color w:val="000000"/>
          <w:sz w:val="24"/>
        </w:rPr>
        <w:t>）【并加盖“受托人”的公章或合同专用章】</w:t>
      </w:r>
      <w:bookmarkEnd w:id="75"/>
      <w:r>
        <w:rPr>
          <w:rFonts w:eastAsia="楷体_GB2312"/>
          <w:color w:val="000000"/>
          <w:sz w:val="24"/>
        </w:rPr>
        <w:t>：</w:t>
      </w:r>
      <w:bookmarkEnd w:id="76"/>
    </w:p>
    <w:bookmarkEnd w:id="77"/>
    <w:bookmarkEnd w:id="78"/>
    <w:bookmarkEnd w:id="79"/>
    <w:p w14:paraId="61424148">
      <w:pPr>
        <w:numPr>
          <w:ilvl w:val="2"/>
          <w:numId w:val="7"/>
        </w:numPr>
        <w:spacing w:line="360" w:lineRule="auto"/>
        <w:ind w:left="1560" w:hanging="709"/>
        <w:rPr>
          <w:rFonts w:eastAsia="楷体_GB2312"/>
          <w:color w:val="000000"/>
          <w:sz w:val="24"/>
        </w:rPr>
      </w:pPr>
      <w:bookmarkStart w:id="80" w:name="_Ref173742621"/>
      <w:bookmarkStart w:id="81" w:name="_Ref221050744"/>
      <w:bookmarkStart w:id="82" w:name="_Ref333410977"/>
      <w:r>
        <w:rPr>
          <w:rFonts w:eastAsia="楷体_GB2312"/>
          <w:color w:val="000000"/>
          <w:sz w:val="24"/>
        </w:rPr>
        <w:t>“委托人”应于【“信托财产交付日”】将“过渡期”收到的“资产池”所有“处置收入”【（扣除“过渡期”内“委托人”先行缴纳的“资产池”相关“税费”，且不含该等“处置收入”产生的利息）】转入“信托账户”</w:t>
      </w:r>
      <w:bookmarkEnd w:id="80"/>
      <w:r>
        <w:rPr>
          <w:rFonts w:eastAsia="楷体_GB2312"/>
          <w:color w:val="000000"/>
          <w:sz w:val="24"/>
        </w:rPr>
        <w:t>。</w:t>
      </w:r>
      <w:bookmarkEnd w:id="81"/>
    </w:p>
    <w:p w14:paraId="45CF414C">
      <w:pPr>
        <w:spacing w:line="360" w:lineRule="auto"/>
        <w:ind w:left="1560"/>
        <w:rPr>
          <w:color w:val="000000"/>
          <w:highlight w:val="yellow"/>
        </w:rPr>
      </w:pPr>
      <w:r>
        <w:rPr>
          <w:rFonts w:eastAsia="楷体_GB2312"/>
          <w:b/>
          <w:bCs/>
          <w:i/>
          <w:iCs/>
          <w:color w:val="FF0000"/>
          <w:sz w:val="24"/>
        </w:rPr>
        <w:t>【注：过渡期处置收入的转付时间以及范围（例如是否扣除过渡期处置费用后划付等）可根据具体项目情况确认。】</w:t>
      </w:r>
    </w:p>
    <w:p w14:paraId="3B08C7CB">
      <w:pPr>
        <w:numPr>
          <w:ilvl w:val="2"/>
          <w:numId w:val="7"/>
        </w:numPr>
        <w:spacing w:line="360" w:lineRule="auto"/>
        <w:ind w:left="1701" w:hanging="708"/>
        <w:rPr>
          <w:rFonts w:eastAsia="楷体_GB2312"/>
          <w:color w:val="000000"/>
          <w:w w:val="0"/>
          <w:sz w:val="24"/>
        </w:rPr>
      </w:pPr>
      <w:r>
        <w:rPr>
          <w:rFonts w:eastAsia="楷体_GB2312"/>
          <w:color w:val="000000"/>
          <w:sz w:val="24"/>
        </w:rPr>
        <w:t>双方确认，自“信托财产交付日”起，“资产清单”所记载的“资产池”有关的全部“账户记录”原件属于“受托人”所有，并视为于“信托财产交付日”由“委托人”交付给作为“受托人”代理人的“贷款服务机构”。在“信托财产交付日”后，“贷款服务机构”将根据“《服务合同》”的有关约定，代“受托人”保管“账户记录”原件。</w:t>
      </w:r>
      <w:bookmarkStart w:id="83" w:name="_Ref146254109"/>
    </w:p>
    <w:p w14:paraId="5AE57FA6">
      <w:pPr>
        <w:numPr>
          <w:ilvl w:val="2"/>
          <w:numId w:val="7"/>
        </w:numPr>
        <w:spacing w:line="360" w:lineRule="auto"/>
        <w:ind w:left="1701" w:hanging="708"/>
        <w:rPr>
          <w:rFonts w:eastAsia="楷体_GB2312"/>
          <w:bCs/>
          <w:color w:val="000000"/>
        </w:rPr>
      </w:pPr>
      <w:bookmarkStart w:id="84" w:name="_DV_C331"/>
      <w:r>
        <w:rPr>
          <w:rStyle w:val="41"/>
          <w:rFonts w:eastAsia="楷体_GB2312"/>
          <w:color w:val="000000"/>
          <w:w w:val="0"/>
          <w:sz w:val="24"/>
          <w:u w:val="none"/>
        </w:rPr>
        <w:t>在“委托人”收到“受托人”出具的确认函且履行完毕本合同第</w:t>
      </w:r>
      <w:r>
        <w:rPr>
          <w:rStyle w:val="41"/>
          <w:rFonts w:eastAsia="楷体_GB2312"/>
          <w:color w:val="000000"/>
          <w:w w:val="0"/>
          <w:sz w:val="24"/>
          <w:u w:val="none"/>
        </w:rPr>
        <w:fldChar w:fldCharType="begin"/>
      </w:r>
      <w:r>
        <w:rPr>
          <w:rStyle w:val="41"/>
          <w:rFonts w:eastAsia="楷体_GB2312"/>
          <w:color w:val="000000"/>
          <w:w w:val="0"/>
          <w:sz w:val="24"/>
          <w:u w:val="none"/>
        </w:rPr>
        <w:instrText xml:space="preserve"> REF _Ref221050744 \r \h  \* MERGEFORMAT </w:instrText>
      </w:r>
      <w:r>
        <w:rPr>
          <w:rStyle w:val="41"/>
          <w:rFonts w:eastAsia="楷体_GB2312"/>
          <w:color w:val="000000"/>
          <w:w w:val="0"/>
          <w:sz w:val="24"/>
          <w:u w:val="none"/>
        </w:rPr>
        <w:fldChar w:fldCharType="separate"/>
      </w:r>
      <w:r>
        <w:rPr>
          <w:rStyle w:val="41"/>
          <w:rFonts w:eastAsia="楷体_GB2312"/>
          <w:color w:val="000000"/>
          <w:w w:val="0"/>
          <w:sz w:val="24"/>
          <w:u w:val="none"/>
        </w:rPr>
        <w:t>3.10.3</w:t>
      </w:r>
      <w:r>
        <w:rPr>
          <w:rStyle w:val="41"/>
          <w:rFonts w:eastAsia="楷体_GB2312"/>
          <w:color w:val="000000"/>
          <w:w w:val="0"/>
          <w:sz w:val="24"/>
          <w:u w:val="none"/>
        </w:rPr>
        <w:fldChar w:fldCharType="end"/>
      </w:r>
      <w:r>
        <w:rPr>
          <w:rStyle w:val="41"/>
          <w:rFonts w:eastAsia="楷体_GB2312"/>
          <w:color w:val="000000"/>
          <w:w w:val="0"/>
          <w:sz w:val="24"/>
          <w:u w:val="none"/>
        </w:rPr>
        <w:t>款约定的划款义务后，“信托财产”交付完毕。</w:t>
      </w:r>
      <w:bookmarkEnd w:id="82"/>
      <w:bookmarkEnd w:id="83"/>
      <w:bookmarkEnd w:id="84"/>
    </w:p>
    <w:p w14:paraId="315EF965">
      <w:pPr>
        <w:numPr>
          <w:ilvl w:val="1"/>
          <w:numId w:val="7"/>
        </w:numPr>
        <w:spacing w:line="360" w:lineRule="auto"/>
        <w:rPr>
          <w:rFonts w:eastAsia="楷体_GB2312"/>
          <w:b/>
          <w:color w:val="000000"/>
          <w:sz w:val="24"/>
        </w:rPr>
      </w:pPr>
      <w:bookmarkStart w:id="85" w:name="_Toc193703303"/>
      <w:bookmarkStart w:id="86" w:name="_Ref111342673"/>
      <w:r>
        <w:rPr>
          <w:rFonts w:eastAsia="楷体_GB2312"/>
          <w:b/>
          <w:color w:val="000000"/>
          <w:sz w:val="24"/>
        </w:rPr>
        <w:t>资产支持证券募集资金的支付</w:t>
      </w:r>
      <w:bookmarkEnd w:id="85"/>
      <w:bookmarkEnd w:id="86"/>
    </w:p>
    <w:p w14:paraId="2392555C">
      <w:pPr>
        <w:spacing w:line="360" w:lineRule="auto"/>
        <w:ind w:left="998" w:leftChars="475"/>
        <w:rPr>
          <w:rFonts w:eastAsia="楷体_GB2312"/>
          <w:color w:val="000000"/>
          <w:w w:val="0"/>
          <w:sz w:val="24"/>
        </w:rPr>
      </w:pPr>
      <w:r>
        <w:rPr>
          <w:rFonts w:eastAsia="楷体_GB2312"/>
          <w:color w:val="000000"/>
          <w:w w:val="0"/>
          <w:sz w:val="24"/>
        </w:rPr>
        <w:t>“受托机构”应不迟于“信托财产交付日”【</w:t>
      </w:r>
      <w:r>
        <w:rPr>
          <w:rFonts w:eastAsia="楷体_GB2312"/>
          <w:i/>
          <w:iCs/>
          <w:color w:val="000000"/>
          <w:w w:val="0"/>
          <w:sz w:val="24"/>
        </w:rPr>
        <w:t>具体时点</w:t>
      </w:r>
      <w:r>
        <w:rPr>
          <w:rFonts w:eastAsia="楷体_GB2312"/>
          <w:color w:val="000000"/>
          <w:w w:val="0"/>
          <w:sz w:val="24"/>
        </w:rPr>
        <w:t>】，将“资产支持证券募集资金”由</w:t>
      </w:r>
      <w:r>
        <w:rPr>
          <w:rFonts w:eastAsia="楷体_GB2312"/>
          <w:b/>
          <w:bCs/>
          <w:i/>
          <w:iCs/>
          <w:color w:val="FF0000"/>
          <w:w w:val="0"/>
          <w:sz w:val="24"/>
        </w:rPr>
        <w:t>【结合项目实际情况填入募集资金收款账户名称】</w:t>
      </w:r>
      <w:r>
        <w:rPr>
          <w:rFonts w:eastAsia="楷体_GB2312"/>
          <w:color w:val="000000"/>
          <w:w w:val="0"/>
          <w:sz w:val="24"/>
        </w:rPr>
        <w:t>支付到“发起机构”指定的账户，户名：【】；开户行：【】；账号：【】；大额支付行号：【】。</w:t>
      </w:r>
    </w:p>
    <w:p w14:paraId="3FE170B4">
      <w:pPr>
        <w:numPr>
          <w:ilvl w:val="1"/>
          <w:numId w:val="7"/>
        </w:numPr>
        <w:spacing w:line="360" w:lineRule="auto"/>
        <w:rPr>
          <w:rFonts w:eastAsia="楷体_GB2312"/>
          <w:color w:val="000000"/>
          <w:w w:val="0"/>
          <w:sz w:val="24"/>
        </w:rPr>
      </w:pPr>
      <w:r>
        <w:rPr>
          <w:rFonts w:eastAsia="楷体_GB2312"/>
          <w:b/>
          <w:color w:val="000000"/>
          <w:sz w:val="24"/>
        </w:rPr>
        <w:t>发起机构自持的资产支持证券的交付</w:t>
      </w:r>
    </w:p>
    <w:p w14:paraId="46AD91C4">
      <w:pPr>
        <w:tabs>
          <w:tab w:val="left" w:pos="992"/>
        </w:tabs>
        <w:spacing w:line="360" w:lineRule="auto"/>
        <w:ind w:left="992"/>
        <w:rPr>
          <w:rFonts w:eastAsia="楷体_GB2312"/>
          <w:color w:val="000000"/>
          <w:w w:val="0"/>
          <w:sz w:val="24"/>
        </w:rPr>
      </w:pPr>
      <w:r>
        <w:rPr>
          <w:rFonts w:eastAsia="楷体_GB2312"/>
          <w:color w:val="000000"/>
          <w:w w:val="0"/>
          <w:sz w:val="24"/>
        </w:rPr>
        <w:t>“受托机构”应不迟于“信托财产交付日”，按照“登记托管机构”的规则将“发起机构”自持的“资产支持证券”，即面值分别为【】元人民币的“优先级资产支持证券”、【】元人民币的“次级资产支持证券”交付给“发起机构”。</w:t>
      </w:r>
    </w:p>
    <w:p w14:paraId="0BBDE705">
      <w:pPr>
        <w:tabs>
          <w:tab w:val="left" w:pos="992"/>
        </w:tabs>
        <w:spacing w:line="360" w:lineRule="auto"/>
        <w:ind w:left="992"/>
        <w:rPr>
          <w:rFonts w:eastAsia="楷体_GB2312"/>
          <w:b/>
          <w:snapToGrid w:val="0"/>
          <w:color w:val="000000"/>
          <w:kern w:val="28"/>
          <w:sz w:val="24"/>
          <w:szCs w:val="20"/>
        </w:rPr>
      </w:pPr>
      <w:r>
        <w:rPr>
          <w:rFonts w:eastAsia="楷体_GB2312"/>
          <w:b/>
          <w:bCs/>
          <w:i/>
          <w:iCs/>
          <w:color w:val="FF0000"/>
          <w:w w:val="0"/>
          <w:sz w:val="24"/>
        </w:rPr>
        <w:t>【注：发起机构自持方式可根据项目的实际情况调整。】</w:t>
      </w:r>
    </w:p>
    <w:p w14:paraId="0F5463FD">
      <w:pPr>
        <w:numPr>
          <w:ilvl w:val="1"/>
          <w:numId w:val="7"/>
        </w:numPr>
        <w:spacing w:line="360" w:lineRule="auto"/>
        <w:rPr>
          <w:rFonts w:eastAsia="楷体_GB2312"/>
          <w:b/>
          <w:color w:val="000000"/>
          <w:sz w:val="24"/>
        </w:rPr>
      </w:pPr>
      <w:bookmarkStart w:id="87" w:name="_Ref434333813"/>
      <w:r>
        <w:rPr>
          <w:rFonts w:eastAsia="楷体_GB2312"/>
          <w:b/>
          <w:color w:val="000000"/>
          <w:sz w:val="24"/>
        </w:rPr>
        <w:t>抵债资产的交付</w:t>
      </w:r>
      <w:bookmarkEnd w:id="87"/>
    </w:p>
    <w:p w14:paraId="338CAB17">
      <w:pPr>
        <w:tabs>
          <w:tab w:val="left" w:pos="992"/>
        </w:tabs>
        <w:spacing w:line="360" w:lineRule="auto"/>
        <w:ind w:left="992"/>
        <w:rPr>
          <w:rFonts w:eastAsia="楷体_GB2312"/>
          <w:b/>
          <w:bCs/>
          <w:i/>
          <w:iCs/>
          <w:color w:val="FF0000"/>
          <w:w w:val="0"/>
          <w:sz w:val="24"/>
        </w:rPr>
      </w:pPr>
      <w:r>
        <w:rPr>
          <w:rFonts w:eastAsia="楷体_GB2312"/>
          <w:b/>
          <w:bCs/>
          <w:i/>
          <w:iCs/>
          <w:color w:val="FF0000"/>
          <w:w w:val="0"/>
          <w:sz w:val="24"/>
        </w:rPr>
        <w:t>【注：根据项目资产的实际情况选择是否适用本款内容或调整相关表述。】</w:t>
      </w:r>
    </w:p>
    <w:p w14:paraId="368C6474">
      <w:pPr>
        <w:numPr>
          <w:ilvl w:val="2"/>
          <w:numId w:val="7"/>
        </w:numPr>
        <w:spacing w:line="360" w:lineRule="auto"/>
        <w:ind w:left="1701" w:hanging="708"/>
        <w:rPr>
          <w:rFonts w:eastAsia="楷体_GB2312"/>
          <w:color w:val="000000"/>
          <w:w w:val="0"/>
          <w:sz w:val="24"/>
        </w:rPr>
      </w:pPr>
      <w:r>
        <w:rPr>
          <w:rFonts w:eastAsia="楷体_GB2312"/>
          <w:color w:val="000000"/>
          <w:w w:val="0"/>
          <w:sz w:val="24"/>
        </w:rPr>
        <w:t>双方</w:t>
      </w:r>
      <w:r>
        <w:rPr>
          <w:rFonts w:eastAsia="楷体_GB2312"/>
          <w:color w:val="000000"/>
          <w:sz w:val="24"/>
        </w:rPr>
        <w:t>同意</w:t>
      </w:r>
      <w:r>
        <w:rPr>
          <w:rFonts w:eastAsia="楷体_GB2312"/>
          <w:color w:val="000000"/>
          <w:w w:val="0"/>
          <w:sz w:val="24"/>
        </w:rPr>
        <w:t>并确认，如在“初始起算日”（【含/不含】该日）后产生“抵债资产”，“贷款服务机构”应尽其最大努力将“抵债资产”变现。双方同意并确认，在“信托生效日”后、发生“权利完善事件”及其他需要发送“权利完善通知”的情形之前，“贷款服务机构”应当代“受托人”持有该等资产，“受托人”同意“贷款服务机构”有权以自己名义接受和处置“抵债资产”并签署相关法律文件。</w:t>
      </w:r>
      <w:r>
        <w:rPr>
          <w:rFonts w:eastAsia="楷体_GB2312"/>
          <w:sz w:val="24"/>
        </w:rPr>
        <w:t>“贷款服务机构”在债务履行期届满前，不得与“抵押人”（如有）、“出质人”（如有）约定“借款人”不履行到期债务时“抵押资产”（如有）“质物”（如有）归债权人所有。</w:t>
      </w:r>
    </w:p>
    <w:p w14:paraId="42F67A7A">
      <w:pPr>
        <w:numPr>
          <w:ilvl w:val="2"/>
          <w:numId w:val="7"/>
        </w:numPr>
        <w:spacing w:line="360" w:lineRule="auto"/>
        <w:ind w:left="1701" w:hanging="708"/>
        <w:rPr>
          <w:rFonts w:eastAsia="楷体_GB2312"/>
          <w:color w:val="000000"/>
          <w:w w:val="0"/>
          <w:sz w:val="24"/>
        </w:rPr>
      </w:pPr>
      <w:r>
        <w:rPr>
          <w:rFonts w:eastAsia="楷体_GB2312"/>
          <w:color w:val="000000"/>
          <w:w w:val="0"/>
          <w:sz w:val="24"/>
        </w:rPr>
        <w:t>如发生“权利完善事件”或其他需要发送“权利完善通知”的情形，“贷款服务机构”应按如下方式完成“抵债资产”（如有）的交付：(1)如为动产，则“贷款服务机构”应于“权利完善事件”或其他需要发送“权利完善通知”的情形发生后的合理时间内将动产及相关权属文件交付给“受托人”占有；(2)如为权利性财产（包括但不限于具有实物权利凭证的财产，比如存单、股票、股权、基金份额、保险单等），则应于“权利完善事件”或其他需要发送“权利完善通知”的情形发生后合理时间内将权利凭证及合同等其他相关文件交付给“受托人”占有，并依据</w:t>
      </w:r>
      <w:r>
        <w:rPr>
          <w:rFonts w:eastAsia="楷体_GB2312"/>
          <w:bCs/>
          <w:color w:val="000000"/>
          <w:sz w:val="24"/>
        </w:rPr>
        <w:t>“</w:t>
      </w:r>
      <w:r>
        <w:rPr>
          <w:rFonts w:eastAsia="楷体_GB2312"/>
          <w:color w:val="000000"/>
          <w:w w:val="0"/>
          <w:sz w:val="24"/>
        </w:rPr>
        <w:t>中国”“法律”规定向相关方发送权利转移的通知（如需）；(3)如果“贷款服务机构”没有实际占有并有效控制“抵债资产”，或“抵债资产”无法办理权属转移手续的，“委托人”应不迟于“权利完善事件”或其他需要发送“权利完善通知”的情形发生后合理时间内向“受托人”交付与“抵债资产”相关的文件、证书等（如有），并提供一切必要之协助以使“受托人”取得“抵债资产”的所有权或协助“受托人”对“抵债资产”进行处置；(4)如“抵债资产”的转移需办理登记手续且“抵债资产”已实际登记于“委托人”名下的，则参照本合同第</w:t>
      </w:r>
      <w:r>
        <w:rPr>
          <w:rFonts w:eastAsia="楷体_GB2312"/>
          <w:color w:val="000000"/>
          <w:w w:val="0"/>
          <w:sz w:val="24"/>
        </w:rPr>
        <w:fldChar w:fldCharType="begin"/>
      </w:r>
      <w:r>
        <w:rPr>
          <w:rFonts w:eastAsia="楷体_GB2312"/>
          <w:color w:val="000000"/>
          <w:w w:val="0"/>
          <w:sz w:val="24"/>
        </w:rPr>
        <w:instrText xml:space="preserve"> REF _Ref217568118 \r \h  \* MERGEFORMAT </w:instrText>
      </w:r>
      <w:r>
        <w:rPr>
          <w:rFonts w:eastAsia="楷体_GB2312"/>
          <w:color w:val="000000"/>
          <w:w w:val="0"/>
          <w:sz w:val="24"/>
        </w:rPr>
        <w:fldChar w:fldCharType="separate"/>
      </w:r>
      <w:r>
        <w:rPr>
          <w:rFonts w:eastAsia="楷体_GB2312"/>
          <w:color w:val="000000"/>
          <w:w w:val="0"/>
          <w:sz w:val="24"/>
        </w:rPr>
        <w:t>3.14.2</w:t>
      </w:r>
      <w:r>
        <w:rPr>
          <w:rFonts w:eastAsia="楷体_GB2312"/>
          <w:color w:val="000000"/>
          <w:w w:val="0"/>
          <w:sz w:val="24"/>
        </w:rPr>
        <w:fldChar w:fldCharType="end"/>
      </w:r>
      <w:r>
        <w:rPr>
          <w:rFonts w:eastAsia="楷体_GB2312"/>
          <w:color w:val="000000"/>
          <w:w w:val="0"/>
          <w:sz w:val="24"/>
        </w:rPr>
        <w:t>款关于担保权利转移登记的约定办理。</w:t>
      </w:r>
    </w:p>
    <w:p w14:paraId="04C566FA">
      <w:pPr>
        <w:numPr>
          <w:ilvl w:val="1"/>
          <w:numId w:val="7"/>
        </w:numPr>
        <w:spacing w:line="360" w:lineRule="auto"/>
        <w:rPr>
          <w:rFonts w:eastAsia="楷体_GB2312"/>
          <w:b/>
          <w:color w:val="000000"/>
          <w:w w:val="0"/>
          <w:sz w:val="24"/>
        </w:rPr>
      </w:pPr>
      <w:bookmarkStart w:id="88" w:name="_Ref437356553"/>
      <w:r>
        <w:rPr>
          <w:rFonts w:eastAsia="楷体_GB2312"/>
          <w:b/>
          <w:color w:val="000000"/>
          <w:w w:val="0"/>
          <w:sz w:val="24"/>
        </w:rPr>
        <w:t>担保</w:t>
      </w:r>
      <w:r>
        <w:rPr>
          <w:rFonts w:eastAsia="楷体_GB2312"/>
          <w:b/>
          <w:color w:val="000000"/>
          <w:sz w:val="24"/>
        </w:rPr>
        <w:t>权利</w:t>
      </w:r>
      <w:r>
        <w:rPr>
          <w:rFonts w:eastAsia="楷体_GB2312"/>
          <w:b/>
          <w:color w:val="000000"/>
          <w:w w:val="0"/>
          <w:sz w:val="24"/>
        </w:rPr>
        <w:t>的转移安排</w:t>
      </w:r>
      <w:bookmarkEnd w:id="88"/>
    </w:p>
    <w:p w14:paraId="240C3154">
      <w:pPr>
        <w:spacing w:line="360" w:lineRule="auto"/>
        <w:ind w:left="567" w:firstLine="420"/>
        <w:rPr>
          <w:w w:val="0"/>
        </w:rPr>
      </w:pPr>
      <w:bookmarkStart w:id="89" w:name="_Ref434918691"/>
      <w:r>
        <w:rPr>
          <w:rFonts w:eastAsia="楷体_GB2312"/>
          <w:b/>
          <w:bCs/>
          <w:i/>
          <w:iCs/>
          <w:color w:val="FF0000"/>
          <w:w w:val="0"/>
          <w:sz w:val="24"/>
        </w:rPr>
        <w:t>【注：担保权利的转移安排待根据具体项目的基础资产进行调整。】</w:t>
      </w:r>
    </w:p>
    <w:p w14:paraId="02CD3950">
      <w:pPr>
        <w:numPr>
          <w:ilvl w:val="2"/>
          <w:numId w:val="7"/>
        </w:numPr>
        <w:spacing w:line="360" w:lineRule="auto"/>
        <w:ind w:left="1701" w:hanging="708"/>
        <w:rPr>
          <w:rFonts w:eastAsia="楷体_GB2312"/>
          <w:snapToGrid w:val="0"/>
          <w:color w:val="000000"/>
          <w:kern w:val="28"/>
          <w:sz w:val="24"/>
          <w:szCs w:val="20"/>
        </w:rPr>
      </w:pPr>
      <w:bookmarkStart w:id="90" w:name="_Ref449529420"/>
      <w:r>
        <w:rPr>
          <w:rFonts w:eastAsia="楷体_GB2312"/>
          <w:snapToGrid w:val="0"/>
          <w:color w:val="000000"/>
          <w:kern w:val="28"/>
          <w:sz w:val="24"/>
          <w:szCs w:val="20"/>
        </w:rPr>
        <w:t>根据</w:t>
      </w:r>
      <w:r>
        <w:rPr>
          <w:rFonts w:eastAsia="楷体_GB2312"/>
          <w:bCs/>
          <w:color w:val="000000"/>
          <w:sz w:val="24"/>
        </w:rPr>
        <w:t>“</w:t>
      </w:r>
      <w:r>
        <w:rPr>
          <w:rFonts w:eastAsia="楷体_GB2312"/>
          <w:snapToGrid w:val="0"/>
          <w:color w:val="000000"/>
          <w:kern w:val="28"/>
          <w:sz w:val="24"/>
          <w:szCs w:val="20"/>
        </w:rPr>
        <w:t>中国”“法律”的规定，“委托人”和“受托人”均同意，于“信托生效日”并不办理“抵押权”、“抵押预告登记权益”、“质权”转移/变更登记手续，而由“委托人”在中国有管辖权的登记机关继续登记为名义上的抵押权人/“抵押预告登记权益”的享有人/质权人。无论“委托人”是否担任“贷款服务机构”，“委托人”应视为“受托人”的代理人被登记为抵押权人/“抵押预告登记权益”的享有人/质权人，当“受托人”仍享有“抵押权”/“抵押预告登记权益”/“质权”时，“委托人”不得从事任何损害“受托人”享有的“抵押权”/“抵押预告登记权益”/“质权”的行为（包括但不限于擅自注销或解除抵押登记/抵押预告登记/质押登记），否则应赔偿“信托财产”因此遭受的损失。</w:t>
      </w:r>
    </w:p>
    <w:p w14:paraId="161C64B8">
      <w:pPr>
        <w:numPr>
          <w:ilvl w:val="2"/>
          <w:numId w:val="7"/>
        </w:numPr>
        <w:spacing w:line="360" w:lineRule="auto"/>
        <w:ind w:left="1701" w:hanging="708"/>
        <w:rPr>
          <w:rFonts w:eastAsia="楷体_GB2312"/>
          <w:snapToGrid w:val="0"/>
          <w:color w:val="000000"/>
          <w:kern w:val="28"/>
          <w:sz w:val="24"/>
          <w:szCs w:val="20"/>
        </w:rPr>
      </w:pPr>
      <w:bookmarkStart w:id="91" w:name="_Ref217568118"/>
      <w:r>
        <w:rPr>
          <w:rFonts w:eastAsia="楷体_GB2312"/>
          <w:snapToGrid w:val="0"/>
          <w:color w:val="000000"/>
          <w:kern w:val="28"/>
          <w:sz w:val="24"/>
          <w:szCs w:val="20"/>
        </w:rPr>
        <w:t>就“信托生效日”前已经办理“抵押权”设立登记或“质权”登记的“贷款”而言，当发生以下任一情形，则应根据</w:t>
      </w:r>
      <w:r>
        <w:rPr>
          <w:rFonts w:eastAsia="楷体_GB2312"/>
          <w:bCs/>
          <w:color w:val="000000"/>
          <w:sz w:val="24"/>
        </w:rPr>
        <w:t>“</w:t>
      </w:r>
      <w:r>
        <w:rPr>
          <w:rFonts w:eastAsia="楷体_GB2312"/>
          <w:snapToGrid w:val="0"/>
          <w:color w:val="000000"/>
          <w:kern w:val="28"/>
          <w:sz w:val="24"/>
          <w:szCs w:val="20"/>
        </w:rPr>
        <w:t>中国”“法律”的规定，于约定的</w:t>
      </w:r>
      <w:r>
        <w:rPr>
          <w:rFonts w:eastAsia="楷体_GB2312"/>
          <w:color w:val="000000"/>
          <w:sz w:val="24"/>
        </w:rPr>
        <w:t>合理</w:t>
      </w:r>
      <w:r>
        <w:rPr>
          <w:rFonts w:eastAsia="楷体_GB2312"/>
          <w:snapToGrid w:val="0"/>
          <w:color w:val="000000"/>
          <w:kern w:val="28"/>
          <w:sz w:val="24"/>
          <w:szCs w:val="20"/>
        </w:rPr>
        <w:t>期限内将办理“抵押权”或“质权”转移/变更登记所必需的资料提交给中国有管辖权的“政府机构”办理</w:t>
      </w:r>
      <w:r>
        <w:rPr>
          <w:rFonts w:eastAsia="楷体_GB2312"/>
          <w:color w:val="000000"/>
          <w:sz w:val="24"/>
        </w:rPr>
        <w:t>相关</w:t>
      </w:r>
      <w:r>
        <w:rPr>
          <w:rFonts w:eastAsia="楷体_GB2312"/>
          <w:snapToGrid w:val="0"/>
          <w:color w:val="000000"/>
          <w:kern w:val="28"/>
          <w:sz w:val="24"/>
          <w:szCs w:val="20"/>
        </w:rPr>
        <w:t>“资产”所涉及的一切必要的“抵押权”或“质权”的转移/变更登记手续，以确保“抵押权”或“质权”登记在“受托人”名下：(1)发生任一“权利完善事件”或其他需要发送“权利完善通知”的情形；(2)经“受托人”和“贷款服务机构”协商认为办理“抵押权”、“质权”的转移/变更登记手续更有利于“资产”回收。</w:t>
      </w:r>
      <w:bookmarkEnd w:id="89"/>
      <w:bookmarkEnd w:id="90"/>
      <w:bookmarkEnd w:id="91"/>
    </w:p>
    <w:p w14:paraId="5A50923A">
      <w:pPr>
        <w:numPr>
          <w:ilvl w:val="2"/>
          <w:numId w:val="7"/>
        </w:numPr>
        <w:spacing w:line="360" w:lineRule="auto"/>
        <w:ind w:left="1701" w:hanging="708"/>
        <w:rPr>
          <w:rFonts w:eastAsia="楷体_GB2312"/>
          <w:snapToGrid w:val="0"/>
          <w:color w:val="000000"/>
          <w:kern w:val="28"/>
          <w:sz w:val="24"/>
          <w:szCs w:val="20"/>
        </w:rPr>
      </w:pPr>
      <w:r>
        <w:rPr>
          <w:rFonts w:eastAsia="楷体_GB2312"/>
          <w:snapToGrid w:val="0"/>
          <w:color w:val="000000"/>
          <w:kern w:val="28"/>
          <w:sz w:val="24"/>
          <w:szCs w:val="20"/>
        </w:rPr>
        <w:t>对于附带质押担保且需交付“质物”或相关权利凭证方可设立“质权”的“贷款”而言，“委托人”应于任一“权利完善事件”或其他需要发送“权利完善通知”的情形发生之后【】日内或“受托人”和“贷款服务机构”共同认为转移其所占有的“质物”或相关权利凭证更有利于“资产”回收时，将相关“质物”或相关权利凭证交付给“受托人”。</w:t>
      </w:r>
    </w:p>
    <w:p w14:paraId="6006B26E">
      <w:pPr>
        <w:numPr>
          <w:ilvl w:val="2"/>
          <w:numId w:val="7"/>
        </w:numPr>
        <w:spacing w:line="360" w:lineRule="auto"/>
        <w:ind w:left="1701" w:hanging="708"/>
        <w:rPr>
          <w:rFonts w:eastAsia="楷体_GB2312"/>
          <w:snapToGrid w:val="0"/>
          <w:color w:val="000000"/>
          <w:kern w:val="28"/>
          <w:sz w:val="24"/>
          <w:szCs w:val="20"/>
        </w:rPr>
      </w:pPr>
      <w:bookmarkStart w:id="92" w:name="_Ref456192935"/>
      <w:r>
        <w:rPr>
          <w:rFonts w:eastAsia="楷体_GB2312"/>
          <w:snapToGrid w:val="0"/>
          <w:color w:val="000000"/>
          <w:kern w:val="28"/>
          <w:sz w:val="24"/>
          <w:szCs w:val="20"/>
        </w:rPr>
        <w:t>就截至“信托生效日”仅办理抵押预告登记但尚未办理“抵押权”设立登记的“贷款”，“委托人”应代“受托人”持有“抵押预告登记权益”，且根据适用的</w:t>
      </w:r>
      <w:r>
        <w:rPr>
          <w:rFonts w:eastAsia="楷体_GB2312"/>
          <w:bCs/>
          <w:color w:val="000000"/>
          <w:sz w:val="24"/>
        </w:rPr>
        <w:t>“</w:t>
      </w:r>
      <w:r>
        <w:rPr>
          <w:rFonts w:eastAsia="楷体_GB2312"/>
          <w:snapToGrid w:val="0"/>
          <w:color w:val="000000"/>
          <w:kern w:val="28"/>
          <w:sz w:val="24"/>
          <w:szCs w:val="20"/>
        </w:rPr>
        <w:t>中国”“法律”的规定，在“抵押权”设立登记条件完备之日起【】日内办理完毕相应的“抵押权”设立登记手续，将“抵押权”登记在“委托人”名下并继续代“受托人”持有“抵押权”。如果在发生“权利完善事件”或其他需要发送“权利完善通知”的情形时，</w:t>
      </w:r>
      <w:bookmarkStart w:id="93" w:name="_Ref47905640"/>
      <w:r>
        <w:rPr>
          <w:rFonts w:eastAsia="楷体_GB2312"/>
          <w:snapToGrid w:val="0"/>
          <w:color w:val="000000"/>
          <w:kern w:val="28"/>
          <w:sz w:val="24"/>
          <w:szCs w:val="20"/>
        </w:rPr>
        <w:t>相关“贷款”项下“抵押房产”尚不具备办理“抵押权”设立登记条件的，则“委托人”应当根据</w:t>
      </w:r>
      <w:r>
        <w:rPr>
          <w:rFonts w:eastAsia="楷体_GB2312"/>
          <w:bCs/>
          <w:color w:val="000000"/>
          <w:sz w:val="24"/>
        </w:rPr>
        <w:t>“</w:t>
      </w:r>
      <w:r>
        <w:rPr>
          <w:rFonts w:eastAsia="楷体_GB2312"/>
          <w:snapToGrid w:val="0"/>
          <w:color w:val="000000"/>
          <w:kern w:val="28"/>
          <w:sz w:val="24"/>
          <w:szCs w:val="20"/>
        </w:rPr>
        <w:t>中国”“法律”的规定并结合“抵押房产”相关登记机关的要求将抵押预告登记办理至“受托人”名下。如发生“权利完善事件”或其他需要发送“权利完善通知”的情形时，相关“贷款”项下“抵押房产”已具备办理“抵押权”设立登记的条件但尚未办理完毕，则“委托人”应按照相关登记机关的要求将“受托人”直接登记为“抵押权”的持有人；如无法直接完成该登记，则“委托人”仍应代“受托人”持有“抵押预告登记权益”，直至按照上述约定办理完毕“抵押权”设立登记手续，并于完成每笔“贷款”的“抵押权”设立登记手续后【】个“工作日”内将办理“抵押权”转移/变更登记所必需的资料提交给中国有管辖权的登记机关办理“抵押权”的转移/变更登记手续，以确保“抵押权”登记在“受托人”名下。</w:t>
      </w:r>
      <w:bookmarkEnd w:id="92"/>
      <w:bookmarkEnd w:id="93"/>
    </w:p>
    <w:p w14:paraId="7BF80D5C">
      <w:pPr>
        <w:numPr>
          <w:ilvl w:val="2"/>
          <w:numId w:val="7"/>
        </w:numPr>
        <w:spacing w:line="360" w:lineRule="auto"/>
        <w:ind w:left="1701" w:hanging="708"/>
        <w:rPr>
          <w:rFonts w:eastAsia="楷体_GB2312"/>
          <w:snapToGrid w:val="0"/>
          <w:color w:val="000000"/>
          <w:kern w:val="28"/>
          <w:sz w:val="24"/>
          <w:szCs w:val="20"/>
        </w:rPr>
      </w:pPr>
      <w:bookmarkStart w:id="94" w:name="_Ref444520855"/>
      <w:r>
        <w:rPr>
          <w:rFonts w:eastAsia="楷体_GB2312"/>
          <w:snapToGrid w:val="0"/>
          <w:color w:val="000000"/>
          <w:kern w:val="28"/>
          <w:sz w:val="24"/>
          <w:szCs w:val="20"/>
        </w:rPr>
        <w:t>就已进入司法程序或担保物涉及查封、扣押等情形的“资产”而言，“委托人”和</w:t>
      </w:r>
      <w:r>
        <w:rPr>
          <w:rFonts w:eastAsia="楷体_GB2312"/>
          <w:color w:val="000000"/>
          <w:sz w:val="24"/>
        </w:rPr>
        <w:t>“受托人”</w:t>
      </w:r>
      <w:r>
        <w:rPr>
          <w:rFonts w:eastAsia="楷体_GB2312"/>
          <w:snapToGrid w:val="0"/>
          <w:color w:val="000000"/>
          <w:kern w:val="28"/>
          <w:sz w:val="24"/>
          <w:szCs w:val="20"/>
        </w:rPr>
        <w:t>应根据届时司法程序的进程和“资产”的实际状况，以最有利于回收“资产”的原则处理“抵押权”、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相关事宜，包括但不限于</w:t>
      </w:r>
      <w:r>
        <w:rPr>
          <w:rFonts w:eastAsia="楷体_GB2312"/>
          <w:color w:val="000000"/>
          <w:kern w:val="28"/>
          <w:sz w:val="24"/>
        </w:rPr>
        <w:t>以下一项或多项措施：</w:t>
      </w:r>
      <w:r>
        <w:rPr>
          <w:rFonts w:eastAsia="楷体_GB2312"/>
          <w:snapToGrid w:val="0"/>
          <w:color w:val="000000"/>
          <w:kern w:val="28"/>
          <w:sz w:val="24"/>
          <w:szCs w:val="20"/>
        </w:rPr>
        <w:t>(1)办理相关的“抵押权”、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转移/变更登记手续，且应在合理期限内办理完毕转移/变更登记手续；(2)向“受托人”转移“质物”或相关权利凭证；(3)就“资产”已进入司法程序的，申请相关法院或仲裁机构将“受托人”确认为“抵押权”、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的直接权利人等；(4)“受托人”（作为实质的</w:t>
      </w:r>
      <w:r>
        <w:rPr>
          <w:rFonts w:eastAsia="楷体_GB2312"/>
        </w:rPr>
        <w:t>“</w:t>
      </w:r>
      <w:r>
        <w:rPr>
          <w:rFonts w:eastAsia="楷体_GB2312"/>
          <w:snapToGrid w:val="0"/>
          <w:color w:val="000000"/>
          <w:kern w:val="28"/>
          <w:sz w:val="24"/>
          <w:szCs w:val="20"/>
        </w:rPr>
        <w:t>抵押权人</w:t>
      </w:r>
      <w:r>
        <w:rPr>
          <w:rFonts w:eastAsia="楷体_GB2312"/>
          <w:sz w:val="24"/>
        </w:rPr>
        <w:t>”/</w:t>
      </w:r>
      <w:r>
        <w:rPr>
          <w:rFonts w:eastAsia="楷体_GB2312"/>
          <w:color w:val="000000"/>
          <w:sz w:val="24"/>
        </w:rPr>
        <w:t>“抵押预告登记权益”的享有人</w:t>
      </w:r>
      <w:r>
        <w:rPr>
          <w:rFonts w:eastAsia="楷体_GB2312"/>
          <w:sz w:val="24"/>
        </w:rPr>
        <w:t>或“质权人”</w:t>
      </w:r>
      <w:r>
        <w:rPr>
          <w:rFonts w:eastAsia="楷体_GB2312"/>
          <w:snapToGrid w:val="0"/>
          <w:color w:val="000000"/>
          <w:kern w:val="28"/>
          <w:sz w:val="24"/>
          <w:szCs w:val="20"/>
        </w:rPr>
        <w:t>）授权“贷款服务机构”以其自己名义代“受托人”持有相应的“抵押权”、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；“贷款服务机构”同意前述约定，并将“抵押权”、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实现所得的款项按照本合同第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_Ref449358013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3.6.3</w:t>
      </w:r>
      <w:r>
        <w:rPr>
          <w:rFonts w:eastAsia="楷体_GB2312"/>
          <w:snapToGrid w:val="0"/>
          <w:color w:val="000000"/>
          <w:kern w:val="28"/>
          <w:sz w:val="24"/>
          <w:szCs w:val="20"/>
        </w:rPr>
        <w:fldChar w:fldCharType="end"/>
      </w:r>
      <w:r>
        <w:rPr>
          <w:rFonts w:eastAsia="楷体_GB2312"/>
          <w:snapToGrid w:val="0"/>
          <w:color w:val="000000"/>
          <w:kern w:val="28"/>
          <w:sz w:val="24"/>
          <w:szCs w:val="20"/>
        </w:rPr>
        <w:t>款、第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_Ref221087142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3.6.4</w:t>
      </w:r>
      <w:r>
        <w:rPr>
          <w:rFonts w:eastAsia="楷体_GB2312"/>
          <w:snapToGrid w:val="0"/>
          <w:color w:val="000000"/>
          <w:kern w:val="28"/>
          <w:sz w:val="24"/>
          <w:szCs w:val="20"/>
        </w:rPr>
        <w:fldChar w:fldCharType="end"/>
      </w:r>
      <w:r>
        <w:rPr>
          <w:rFonts w:eastAsia="楷体_GB2312"/>
          <w:snapToGrid w:val="0"/>
          <w:color w:val="000000"/>
          <w:kern w:val="28"/>
          <w:sz w:val="24"/>
          <w:szCs w:val="20"/>
        </w:rPr>
        <w:t>款的约定进行分配。</w:t>
      </w:r>
      <w:bookmarkEnd w:id="94"/>
    </w:p>
    <w:p w14:paraId="762575BC">
      <w:pPr>
        <w:numPr>
          <w:ilvl w:val="2"/>
          <w:numId w:val="7"/>
        </w:numPr>
        <w:spacing w:line="360" w:lineRule="auto"/>
        <w:ind w:left="1701" w:hanging="708"/>
        <w:rPr>
          <w:rFonts w:eastAsia="楷体_GB2312"/>
          <w:snapToGrid w:val="0"/>
          <w:color w:val="000000"/>
          <w:kern w:val="28"/>
          <w:sz w:val="24"/>
          <w:szCs w:val="20"/>
        </w:rPr>
      </w:pPr>
      <w:bookmarkStart w:id="95" w:name="_Ref449529135"/>
      <w:r>
        <w:rPr>
          <w:rFonts w:eastAsia="楷体_GB2312"/>
          <w:snapToGrid w:val="0"/>
          <w:color w:val="000000"/>
          <w:kern w:val="28"/>
          <w:sz w:val="24"/>
          <w:szCs w:val="20"/>
        </w:rPr>
        <w:t>就</w:t>
      </w:r>
      <w:r>
        <w:rPr>
          <w:rFonts w:eastAsia="楷体_GB2312"/>
          <w:color w:val="000000"/>
          <w:w w:val="0"/>
          <w:sz w:val="24"/>
        </w:rPr>
        <w:t>尚未</w:t>
      </w:r>
      <w:r>
        <w:rPr>
          <w:rFonts w:eastAsia="楷体_GB2312"/>
          <w:snapToGrid w:val="0"/>
          <w:color w:val="000000"/>
          <w:kern w:val="28"/>
          <w:sz w:val="24"/>
          <w:szCs w:val="20"/>
        </w:rPr>
        <w:t>办理或根据本合同第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_Ref217568118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3.14.2</w:t>
      </w:r>
      <w:r>
        <w:rPr>
          <w:rFonts w:eastAsia="楷体_GB2312"/>
          <w:snapToGrid w:val="0"/>
          <w:color w:val="000000"/>
          <w:kern w:val="28"/>
          <w:sz w:val="24"/>
          <w:szCs w:val="20"/>
        </w:rPr>
        <w:fldChar w:fldCharType="end"/>
      </w:r>
      <w:r>
        <w:rPr>
          <w:rFonts w:eastAsia="楷体_GB2312"/>
          <w:snapToGrid w:val="0"/>
          <w:color w:val="000000"/>
          <w:kern w:val="28"/>
          <w:sz w:val="24"/>
          <w:szCs w:val="20"/>
        </w:rPr>
        <w:t>款、第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_Ref456192935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3.14.4</w:t>
      </w:r>
      <w:r>
        <w:rPr>
          <w:rFonts w:eastAsia="楷体_GB2312"/>
          <w:snapToGrid w:val="0"/>
          <w:color w:val="000000"/>
          <w:kern w:val="28"/>
          <w:sz w:val="24"/>
          <w:szCs w:val="20"/>
        </w:rPr>
        <w:fldChar w:fldCharType="end"/>
      </w:r>
      <w:r>
        <w:rPr>
          <w:rFonts w:eastAsia="楷体_GB2312"/>
          <w:snapToGrid w:val="0"/>
          <w:color w:val="000000"/>
          <w:kern w:val="28"/>
          <w:sz w:val="24"/>
          <w:szCs w:val="20"/>
        </w:rPr>
        <w:t>款和第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_Ref444520855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3.14.5</w:t>
      </w:r>
      <w:r>
        <w:rPr>
          <w:rFonts w:eastAsia="楷体_GB2312"/>
          <w:snapToGrid w:val="0"/>
          <w:color w:val="000000"/>
          <w:kern w:val="28"/>
          <w:sz w:val="24"/>
          <w:szCs w:val="20"/>
        </w:rPr>
        <w:fldChar w:fldCharType="end"/>
      </w:r>
      <w:r>
        <w:rPr>
          <w:rFonts w:eastAsia="楷体_GB2312"/>
          <w:snapToGrid w:val="0"/>
          <w:color w:val="000000"/>
          <w:kern w:val="28"/>
          <w:sz w:val="24"/>
          <w:szCs w:val="20"/>
        </w:rPr>
        <w:t>款的约定属于需要</w:t>
      </w:r>
      <w:r>
        <w:rPr>
          <w:rFonts w:eastAsia="楷体_GB2312"/>
          <w:color w:val="000000"/>
          <w:sz w:val="24"/>
        </w:rPr>
        <w:t>办理</w:t>
      </w:r>
      <w:r>
        <w:rPr>
          <w:rFonts w:eastAsia="楷体_GB2312"/>
          <w:snapToGrid w:val="0"/>
          <w:color w:val="000000"/>
          <w:kern w:val="28"/>
          <w:sz w:val="24"/>
          <w:szCs w:val="20"/>
        </w:rPr>
        <w:t>转移/变更登记的“资产”但因登记机关、“担保人”等原因而无法办理完毕“抵押权”、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的转移/变更登记，则“受托人”应以最有利于回收“资产”的原则处理“抵押权”、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相关事宜，包括但不限于</w:t>
      </w:r>
      <w:r>
        <w:rPr>
          <w:rFonts w:eastAsia="楷体_GB2312"/>
          <w:color w:val="000000"/>
          <w:kern w:val="28"/>
          <w:sz w:val="24"/>
        </w:rPr>
        <w:t>以下一项或多项措施：</w:t>
      </w:r>
      <w:r>
        <w:rPr>
          <w:rFonts w:eastAsia="楷体_GB2312"/>
          <w:snapToGrid w:val="0"/>
          <w:color w:val="000000"/>
          <w:kern w:val="28"/>
          <w:sz w:val="24"/>
          <w:szCs w:val="20"/>
        </w:rPr>
        <w:t>(1)“受托人”（作为实质的</w:t>
      </w:r>
      <w:r>
        <w:rPr>
          <w:rFonts w:eastAsia="楷体_GB2312"/>
          <w:bCs/>
          <w:color w:val="000000"/>
          <w:sz w:val="24"/>
        </w:rPr>
        <w:t>“</w:t>
      </w:r>
      <w:r>
        <w:rPr>
          <w:rFonts w:eastAsia="楷体_GB2312"/>
          <w:snapToGrid w:val="0"/>
          <w:color w:val="000000"/>
          <w:kern w:val="28"/>
          <w:sz w:val="24"/>
          <w:szCs w:val="20"/>
        </w:rPr>
        <w:t>抵押权人</w:t>
      </w:r>
      <w:r>
        <w:rPr>
          <w:rFonts w:eastAsia="楷体_GB2312"/>
          <w:sz w:val="24"/>
        </w:rPr>
        <w:t>”</w:t>
      </w:r>
      <w:r>
        <w:rPr>
          <w:rFonts w:eastAsia="楷体_GB2312"/>
          <w:snapToGrid w:val="0"/>
          <w:color w:val="000000"/>
          <w:kern w:val="28"/>
          <w:sz w:val="24"/>
          <w:szCs w:val="20"/>
        </w:rPr>
        <w:t>/</w:t>
      </w:r>
      <w:r>
        <w:rPr>
          <w:rFonts w:eastAsia="楷体_GB2312"/>
          <w:color w:val="000000"/>
          <w:sz w:val="24"/>
        </w:rPr>
        <w:t>“抵押预告登记权益”的享有人</w:t>
      </w:r>
      <w:r>
        <w:rPr>
          <w:rFonts w:eastAsia="楷体_GB2312"/>
          <w:sz w:val="24"/>
        </w:rPr>
        <w:t>/“质权</w:t>
      </w:r>
      <w:r>
        <w:rPr>
          <w:rFonts w:eastAsia="楷体_GB2312"/>
          <w:snapToGrid w:val="0"/>
          <w:color w:val="000000"/>
          <w:kern w:val="28"/>
          <w:sz w:val="24"/>
          <w:szCs w:val="20"/>
        </w:rPr>
        <w:t>人</w:t>
      </w:r>
      <w:r>
        <w:rPr>
          <w:rFonts w:eastAsia="楷体_GB2312"/>
          <w:sz w:val="24"/>
        </w:rPr>
        <w:t>”</w:t>
      </w:r>
      <w:r>
        <w:rPr>
          <w:rFonts w:eastAsia="楷体_GB2312"/>
          <w:snapToGrid w:val="0"/>
          <w:color w:val="000000"/>
          <w:kern w:val="28"/>
          <w:sz w:val="24"/>
          <w:szCs w:val="20"/>
        </w:rPr>
        <w:t>）授权“贷款服务机构”以其自己名义代“受托人”持有相应的“抵押权”、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；“贷款服务机构”同意前述约定，并将“抵押权”、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实现所得的款项按照本合同第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_Ref449358013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3.6.3</w:t>
      </w:r>
      <w:r>
        <w:rPr>
          <w:rFonts w:eastAsia="楷体_GB2312"/>
          <w:snapToGrid w:val="0"/>
          <w:color w:val="000000"/>
          <w:kern w:val="28"/>
          <w:sz w:val="24"/>
          <w:szCs w:val="20"/>
        </w:rPr>
        <w:fldChar w:fldCharType="end"/>
      </w:r>
      <w:r>
        <w:rPr>
          <w:rFonts w:eastAsia="楷体_GB2312"/>
          <w:snapToGrid w:val="0"/>
          <w:color w:val="000000"/>
          <w:kern w:val="28"/>
          <w:sz w:val="24"/>
          <w:szCs w:val="20"/>
        </w:rPr>
        <w:t>款、第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_Ref221087142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3.6.4</w:t>
      </w:r>
      <w:r>
        <w:rPr>
          <w:rFonts w:eastAsia="楷体_GB2312"/>
          <w:snapToGrid w:val="0"/>
          <w:color w:val="000000"/>
          <w:kern w:val="28"/>
          <w:sz w:val="24"/>
          <w:szCs w:val="20"/>
        </w:rPr>
        <w:fldChar w:fldCharType="end"/>
      </w:r>
      <w:r>
        <w:rPr>
          <w:rFonts w:eastAsia="楷体_GB2312"/>
          <w:snapToGrid w:val="0"/>
          <w:color w:val="000000"/>
          <w:kern w:val="28"/>
          <w:sz w:val="24"/>
          <w:szCs w:val="20"/>
        </w:rPr>
        <w:t>款的约定进行分配；及/或(2)申请相关法院或仲裁机构将“受托人”确认为“抵押权”、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的直接权利人等。</w:t>
      </w:r>
      <w:bookmarkEnd w:id="95"/>
    </w:p>
    <w:p w14:paraId="16229C1E">
      <w:pPr>
        <w:numPr>
          <w:ilvl w:val="2"/>
          <w:numId w:val="7"/>
        </w:numPr>
        <w:spacing w:line="360" w:lineRule="auto"/>
        <w:ind w:left="1701" w:hanging="708"/>
        <w:rPr>
          <w:rFonts w:eastAsia="楷体_GB2312"/>
          <w:b/>
          <w:i/>
          <w:color w:val="FF0000"/>
        </w:rPr>
      </w:pPr>
      <w:r>
        <w:rPr>
          <w:rFonts w:eastAsia="楷体_GB2312"/>
          <w:snapToGrid w:val="0"/>
          <w:color w:val="000000"/>
          <w:kern w:val="28"/>
          <w:sz w:val="24"/>
          <w:szCs w:val="20"/>
        </w:rPr>
        <w:t>为便于办理相关“资产”的转移/变更登记手续，若负责办理相关</w:t>
      </w:r>
      <w:r>
        <w:rPr>
          <w:rFonts w:eastAsia="楷体_GB2312"/>
          <w:color w:val="000000"/>
          <w:sz w:val="24"/>
        </w:rPr>
        <w:t>“抵押权”、“</w:t>
      </w:r>
      <w:r>
        <w:rPr>
          <w:rFonts w:eastAsia="楷体_GB2312"/>
          <w:bCs/>
          <w:color w:val="000000"/>
          <w:sz w:val="24"/>
        </w:rPr>
        <w:t>抵押预告登记权益”</w:t>
      </w:r>
      <w:r>
        <w:rPr>
          <w:rFonts w:eastAsia="楷体_GB2312"/>
          <w:sz w:val="24"/>
        </w:rPr>
        <w:t>或“质权”</w:t>
      </w:r>
      <w:r>
        <w:rPr>
          <w:rFonts w:eastAsia="楷体_GB2312"/>
          <w:snapToGrid w:val="0"/>
          <w:color w:val="000000"/>
          <w:kern w:val="28"/>
          <w:sz w:val="24"/>
          <w:szCs w:val="20"/>
        </w:rPr>
        <w:t>转移/变更登记的“政府机构”要求提供关于债权转让的相关协议的，则在相关情形发生后合理时间内，“委托人”应与“受托人”就“资产”签署单户资产转让协议（格式见本合同</w:t>
      </w:r>
      <w:r>
        <w:rPr>
          <w:rFonts w:eastAsia="楷体_GB2312"/>
          <w:b/>
          <w:i/>
          <w:snapToGrid w:val="0"/>
          <w:color w:val="000000"/>
          <w:kern w:val="28"/>
          <w:sz w:val="24"/>
          <w:szCs w:val="20"/>
        </w:rPr>
        <w:t>附件十二</w:t>
      </w:r>
      <w:r>
        <w:rPr>
          <w:rFonts w:eastAsia="楷体_GB2312"/>
          <w:snapToGrid w:val="0"/>
          <w:color w:val="000000"/>
          <w:kern w:val="28"/>
          <w:sz w:val="24"/>
          <w:szCs w:val="20"/>
        </w:rPr>
        <w:t>）。</w:t>
      </w:r>
    </w:p>
    <w:p w14:paraId="48CBF740">
      <w:pPr>
        <w:numPr>
          <w:ilvl w:val="2"/>
          <w:numId w:val="7"/>
        </w:numPr>
        <w:spacing w:line="360" w:lineRule="auto"/>
        <w:ind w:left="1701" w:hanging="708"/>
        <w:rPr>
          <w:snapToGrid w:val="0"/>
          <w:kern w:val="28"/>
          <w:szCs w:val="20"/>
        </w:rPr>
      </w:pPr>
      <w:r>
        <w:rPr>
          <w:rFonts w:eastAsia="楷体_GB2312"/>
          <w:snapToGrid w:val="0"/>
          <w:color w:val="000000"/>
          <w:kern w:val="28"/>
          <w:sz w:val="24"/>
          <w:szCs w:val="20"/>
        </w:rPr>
        <w:t>关于“抵押权”、</w:t>
      </w:r>
      <w:r>
        <w:rPr>
          <w:rFonts w:eastAsia="楷体_GB2312"/>
          <w:color w:val="000000"/>
          <w:sz w:val="24"/>
        </w:rPr>
        <w:t>“</w:t>
      </w:r>
      <w:r>
        <w:rPr>
          <w:rFonts w:eastAsia="楷体_GB2312"/>
          <w:bCs/>
          <w:color w:val="000000"/>
          <w:sz w:val="24"/>
        </w:rPr>
        <w:t>抵押预告登记权益”或</w:t>
      </w:r>
      <w:r>
        <w:rPr>
          <w:rFonts w:eastAsia="楷体_GB2312"/>
          <w:sz w:val="24"/>
        </w:rPr>
        <w:t>“质权”</w:t>
      </w:r>
      <w:r>
        <w:rPr>
          <w:rFonts w:eastAsia="楷体_GB2312"/>
          <w:snapToGrid w:val="0"/>
          <w:color w:val="000000"/>
          <w:kern w:val="28"/>
          <w:sz w:val="24"/>
          <w:szCs w:val="20"/>
        </w:rPr>
        <w:t>转移/变更登记以及“质物”或相关权利凭证转移所发生的相关费用由【</w:t>
      </w:r>
      <w:r>
        <w:rPr>
          <w:rFonts w:eastAsia="楷体_GB2312"/>
          <w:color w:val="000000"/>
          <w:sz w:val="24"/>
        </w:rPr>
        <w:t>“委托人”/“信托财产”</w:t>
      </w:r>
      <w:r>
        <w:rPr>
          <w:rFonts w:eastAsia="楷体_GB2312"/>
          <w:snapToGrid w:val="0"/>
          <w:color w:val="000000"/>
          <w:kern w:val="28"/>
          <w:sz w:val="24"/>
          <w:szCs w:val="20"/>
        </w:rPr>
        <w:t>】承担：</w:t>
      </w:r>
    </w:p>
    <w:p w14:paraId="53D92F9C">
      <w:pPr>
        <w:numPr>
          <w:ilvl w:val="1"/>
          <w:numId w:val="7"/>
        </w:numPr>
        <w:spacing w:line="360" w:lineRule="auto"/>
        <w:rPr>
          <w:rFonts w:eastAsia="楷体_GB2312"/>
          <w:b/>
          <w:snapToGrid w:val="0"/>
          <w:color w:val="000000"/>
          <w:kern w:val="28"/>
          <w:sz w:val="24"/>
          <w:szCs w:val="20"/>
        </w:rPr>
      </w:pPr>
      <w:r>
        <w:rPr>
          <w:rFonts w:eastAsia="楷体_GB2312"/>
          <w:b/>
          <w:snapToGrid w:val="0"/>
          <w:kern w:val="28"/>
          <w:sz w:val="24"/>
          <w:szCs w:val="20"/>
        </w:rPr>
        <w:t>司法</w:t>
      </w:r>
      <w:r>
        <w:rPr>
          <w:rFonts w:eastAsia="楷体_GB2312"/>
          <w:b/>
          <w:color w:val="000000"/>
          <w:sz w:val="24"/>
        </w:rPr>
        <w:t>程序</w:t>
      </w:r>
      <w:r>
        <w:rPr>
          <w:rFonts w:eastAsia="楷体_GB2312"/>
          <w:b/>
          <w:color w:val="000000"/>
          <w:w w:val="0"/>
          <w:sz w:val="24"/>
        </w:rPr>
        <w:t>中的诉讼、仲裁、执行主体变更</w:t>
      </w:r>
    </w:p>
    <w:p w14:paraId="4E0459F3">
      <w:pPr>
        <w:spacing w:line="360" w:lineRule="auto"/>
        <w:ind w:left="992"/>
        <w:rPr>
          <w:rFonts w:eastAsia="楷体_GB2312"/>
          <w:color w:val="000000"/>
          <w:w w:val="0"/>
          <w:sz w:val="24"/>
        </w:rPr>
      </w:pPr>
      <w:r>
        <w:rPr>
          <w:rFonts w:eastAsia="楷体_GB2312"/>
          <w:snapToGrid w:val="0"/>
          <w:color w:val="000000"/>
          <w:kern w:val="28"/>
          <w:sz w:val="24"/>
          <w:szCs w:val="20"/>
        </w:rPr>
        <w:t>双方同意，如在“信托生效日”“</w:t>
      </w:r>
      <w:r>
        <w:rPr>
          <w:rFonts w:eastAsia="楷体_GB2312"/>
          <w:bCs/>
          <w:snapToGrid w:val="0"/>
          <w:color w:val="000000"/>
          <w:kern w:val="28"/>
          <w:sz w:val="24"/>
          <w:szCs w:val="20"/>
        </w:rPr>
        <w:t>资产</w:t>
      </w:r>
      <w:r>
        <w:rPr>
          <w:rFonts w:eastAsia="楷体_GB2312"/>
          <w:snapToGrid w:val="0"/>
          <w:color w:val="000000"/>
          <w:kern w:val="28"/>
          <w:sz w:val="24"/>
          <w:szCs w:val="20"/>
        </w:rPr>
        <w:t>”已涉及</w:t>
      </w:r>
      <w:bookmarkStart w:id="96" w:name="_Hlk221106050"/>
      <w:r>
        <w:rPr>
          <w:rFonts w:eastAsia="楷体_GB2312"/>
          <w:snapToGrid w:val="0"/>
          <w:color w:val="000000"/>
          <w:kern w:val="28"/>
          <w:sz w:val="24"/>
          <w:szCs w:val="20"/>
        </w:rPr>
        <w:t>诉讼、仲裁、强制执行或其他法律程序的，按照最有利于回收“</w:t>
      </w:r>
      <w:r>
        <w:rPr>
          <w:rFonts w:eastAsia="楷体_GB2312"/>
          <w:bCs/>
          <w:snapToGrid w:val="0"/>
          <w:color w:val="000000"/>
          <w:kern w:val="28"/>
          <w:sz w:val="24"/>
          <w:szCs w:val="20"/>
        </w:rPr>
        <w:t>资产</w:t>
      </w:r>
      <w:r>
        <w:rPr>
          <w:rFonts w:eastAsia="楷体_GB2312"/>
          <w:snapToGrid w:val="0"/>
          <w:color w:val="000000"/>
          <w:kern w:val="28"/>
          <w:sz w:val="24"/>
          <w:szCs w:val="20"/>
        </w:rPr>
        <w:t>”和推进前述法律程序的原则处理法律程序中的诉讼/仲裁、执行主体变更等相关事宜。在发生“权利完善事件”情形前，原则上应由“</w:t>
      </w:r>
      <w:r>
        <w:rPr>
          <w:rFonts w:eastAsia="楷体_GB2312"/>
          <w:color w:val="000000"/>
          <w:sz w:val="24"/>
        </w:rPr>
        <w:t>委托人”</w:t>
      </w:r>
      <w:r>
        <w:rPr>
          <w:rFonts w:eastAsia="楷体_GB2312"/>
          <w:snapToGrid w:val="0"/>
          <w:color w:val="000000"/>
          <w:kern w:val="28"/>
          <w:sz w:val="24"/>
          <w:szCs w:val="20"/>
        </w:rPr>
        <w:t>继续以自己名义进行前述法律程序，但如果“</w:t>
      </w:r>
      <w:r>
        <w:rPr>
          <w:rFonts w:eastAsia="楷体_GB2312"/>
          <w:color w:val="000000"/>
          <w:sz w:val="24"/>
        </w:rPr>
        <w:t>委托人”</w:t>
      </w:r>
      <w:r>
        <w:rPr>
          <w:rFonts w:eastAsia="楷体_GB2312"/>
          <w:snapToGrid w:val="0"/>
          <w:color w:val="000000"/>
          <w:kern w:val="28"/>
          <w:sz w:val="24"/>
          <w:szCs w:val="20"/>
        </w:rPr>
        <w:t>在上述法律程序中的主体资格被质疑而无法继续以自己名义进行的</w:t>
      </w:r>
      <w:bookmarkEnd w:id="96"/>
      <w:r>
        <w:rPr>
          <w:rFonts w:eastAsia="楷体_GB2312"/>
          <w:snapToGrid w:val="0"/>
          <w:color w:val="000000"/>
          <w:kern w:val="28"/>
          <w:sz w:val="24"/>
          <w:szCs w:val="20"/>
        </w:rPr>
        <w:t>，则经“</w:t>
      </w:r>
      <w:r>
        <w:rPr>
          <w:rFonts w:eastAsia="楷体_GB2312"/>
          <w:color w:val="000000"/>
          <w:sz w:val="24"/>
        </w:rPr>
        <w:t>委托人”</w:t>
      </w:r>
      <w:r>
        <w:rPr>
          <w:rFonts w:eastAsia="楷体_GB2312"/>
          <w:snapToGrid w:val="0"/>
          <w:color w:val="000000"/>
          <w:kern w:val="28"/>
          <w:sz w:val="24"/>
          <w:szCs w:val="20"/>
        </w:rPr>
        <w:t>的书面通知，“受托人”应以自己名义参与该等法律程序。在发生“权利完善事件”情形后，“</w:t>
      </w:r>
      <w:r>
        <w:rPr>
          <w:rFonts w:eastAsia="楷体_GB2312"/>
          <w:color w:val="000000"/>
          <w:sz w:val="24"/>
        </w:rPr>
        <w:t>委托人”</w:t>
      </w:r>
      <w:r>
        <w:rPr>
          <w:rFonts w:eastAsia="楷体_GB2312"/>
          <w:snapToGrid w:val="0"/>
          <w:color w:val="000000"/>
          <w:kern w:val="28"/>
          <w:sz w:val="24"/>
          <w:szCs w:val="20"/>
        </w:rPr>
        <w:t>应当按照本合同约定发送“权利完善通知”，原则上应由“受托人”以自己名义参与前述法律程序，“</w:t>
      </w:r>
      <w:r>
        <w:rPr>
          <w:rFonts w:eastAsia="楷体_GB2312"/>
          <w:color w:val="000000"/>
          <w:sz w:val="24"/>
        </w:rPr>
        <w:t>委托人”</w:t>
      </w:r>
      <w:r>
        <w:rPr>
          <w:rFonts w:eastAsia="楷体_GB2312"/>
          <w:snapToGrid w:val="0"/>
          <w:color w:val="000000"/>
          <w:kern w:val="28"/>
          <w:sz w:val="24"/>
          <w:szCs w:val="20"/>
        </w:rPr>
        <w:t>应尽力提供一切必要的协助。</w:t>
      </w:r>
    </w:p>
    <w:p w14:paraId="17FB96CC">
      <w:pPr>
        <w:numPr>
          <w:ilvl w:val="1"/>
          <w:numId w:val="7"/>
        </w:numPr>
        <w:spacing w:line="360" w:lineRule="auto"/>
        <w:rPr>
          <w:rFonts w:eastAsia="楷体_GB2312"/>
          <w:w w:val="0"/>
        </w:rPr>
      </w:pPr>
      <w:bookmarkStart w:id="97" w:name="_Toc67459791"/>
      <w:bookmarkStart w:id="98" w:name="_Toc67385983"/>
      <w:bookmarkStart w:id="99" w:name="_Toc445756791"/>
      <w:bookmarkStart w:id="100" w:name="_Toc58517671"/>
      <w:bookmarkStart w:id="101" w:name="_Toc67718735"/>
      <w:bookmarkStart w:id="102" w:name="_Toc119754295"/>
      <w:r>
        <w:rPr>
          <w:rFonts w:eastAsia="楷体_GB2312"/>
          <w:b/>
          <w:color w:val="000000"/>
          <w:sz w:val="24"/>
        </w:rPr>
        <w:t>过渡期</w:t>
      </w:r>
      <w:r>
        <w:rPr>
          <w:rFonts w:eastAsia="楷体_GB2312"/>
          <w:b/>
          <w:color w:val="000000"/>
          <w:w w:val="0"/>
          <w:sz w:val="24"/>
        </w:rPr>
        <w:t>内资产的管理</w:t>
      </w:r>
      <w:bookmarkEnd w:id="97"/>
      <w:bookmarkEnd w:id="98"/>
      <w:bookmarkEnd w:id="99"/>
      <w:bookmarkEnd w:id="100"/>
      <w:bookmarkEnd w:id="101"/>
      <w:bookmarkEnd w:id="102"/>
    </w:p>
    <w:p w14:paraId="29D4C995">
      <w:pPr>
        <w:numPr>
          <w:ilvl w:val="2"/>
          <w:numId w:val="7"/>
        </w:numPr>
        <w:spacing w:line="360" w:lineRule="auto"/>
        <w:ind w:left="1701" w:hanging="708"/>
        <w:rPr>
          <w:rFonts w:eastAsia="楷体_GB2312"/>
          <w:snapToGrid w:val="0"/>
        </w:rPr>
      </w:pPr>
      <w:r>
        <w:rPr>
          <w:rFonts w:eastAsia="楷体_GB2312"/>
          <w:snapToGrid w:val="0"/>
          <w:color w:val="000000"/>
          <w:kern w:val="28"/>
          <w:sz w:val="24"/>
          <w:szCs w:val="20"/>
        </w:rPr>
        <w:t>在</w:t>
      </w:r>
      <w:r>
        <w:rPr>
          <w:rFonts w:eastAsia="楷体_GB2312"/>
          <w:color w:val="000000"/>
          <w:sz w:val="24"/>
        </w:rPr>
        <w:t>“过渡期”</w:t>
      </w:r>
      <w:r>
        <w:rPr>
          <w:rFonts w:eastAsia="楷体_GB2312"/>
          <w:snapToGrid w:val="0"/>
          <w:color w:val="000000"/>
          <w:kern w:val="28"/>
          <w:sz w:val="24"/>
          <w:szCs w:val="20"/>
        </w:rPr>
        <w:t>内，“委托人”拥有对“资产池”的自主管理、处置权，“委托人”</w:t>
      </w:r>
      <w:r>
        <w:rPr>
          <w:rFonts w:eastAsia="楷体_GB2312"/>
          <w:color w:val="000000"/>
          <w:sz w:val="24"/>
        </w:rPr>
        <w:t>同意</w:t>
      </w:r>
      <w:r>
        <w:rPr>
          <w:rFonts w:eastAsia="楷体_GB2312"/>
          <w:snapToGrid w:val="0"/>
          <w:color w:val="000000"/>
          <w:kern w:val="28"/>
          <w:sz w:val="24"/>
          <w:szCs w:val="20"/>
        </w:rPr>
        <w:t>按照下列原则管理、处置“资产池”：(1)遵守国家相关法律、法规的规定；(2)遵守“委托人”制定的有关资产管理和处置的内部制度、规则和程序。</w:t>
      </w:r>
      <w:bookmarkStart w:id="103" w:name="_Ref118451937"/>
    </w:p>
    <w:p w14:paraId="634618D1">
      <w:pPr>
        <w:numPr>
          <w:ilvl w:val="2"/>
          <w:numId w:val="7"/>
        </w:numPr>
        <w:spacing w:line="360" w:lineRule="auto"/>
        <w:ind w:left="1701" w:hanging="708"/>
        <w:rPr>
          <w:rFonts w:eastAsia="楷体_GB2312"/>
          <w:snapToGrid w:val="0"/>
          <w:color w:val="000000"/>
          <w:kern w:val="28"/>
          <w:sz w:val="24"/>
          <w:szCs w:val="20"/>
        </w:rPr>
      </w:pPr>
      <w:bookmarkStart w:id="104" w:name="_Ref450727856"/>
      <w:r>
        <w:rPr>
          <w:rFonts w:eastAsia="楷体_GB2312"/>
          <w:snapToGrid w:val="0"/>
          <w:color w:val="000000"/>
          <w:kern w:val="28"/>
          <w:sz w:val="24"/>
          <w:szCs w:val="20"/>
        </w:rPr>
        <w:t>在</w:t>
      </w:r>
      <w:r>
        <w:rPr>
          <w:rFonts w:eastAsia="楷体_GB2312"/>
          <w:color w:val="000000"/>
          <w:sz w:val="24"/>
        </w:rPr>
        <w:t>“过渡期”</w:t>
      </w:r>
      <w:r>
        <w:rPr>
          <w:rFonts w:eastAsia="楷体_GB2312"/>
          <w:snapToGrid w:val="0"/>
          <w:color w:val="000000"/>
          <w:kern w:val="28"/>
          <w:sz w:val="24"/>
          <w:szCs w:val="20"/>
        </w:rPr>
        <w:t>内，“委托人”应对“资产”涉及相应诉讼时效和/或法定期间进行维护，但代位权和撤销权的行使除外。</w:t>
      </w:r>
      <w:bookmarkEnd w:id="103"/>
      <w:bookmarkEnd w:id="104"/>
    </w:p>
    <w:p w14:paraId="1332F2E7">
      <w:pPr>
        <w:numPr>
          <w:ilvl w:val="2"/>
          <w:numId w:val="7"/>
        </w:numPr>
        <w:spacing w:line="360" w:lineRule="auto"/>
        <w:ind w:left="1701" w:hanging="708"/>
        <w:rPr>
          <w:rFonts w:eastAsia="楷体_GB2312"/>
          <w:snapToGrid w:val="0"/>
          <w:color w:val="000000"/>
          <w:kern w:val="28"/>
          <w:sz w:val="24"/>
          <w:szCs w:val="20"/>
        </w:rPr>
      </w:pPr>
      <w:r>
        <w:rPr>
          <w:rFonts w:eastAsia="楷体_GB2312"/>
          <w:snapToGrid w:val="0"/>
          <w:color w:val="000000"/>
          <w:kern w:val="28"/>
          <w:sz w:val="24"/>
          <w:szCs w:val="20"/>
        </w:rPr>
        <w:t>“过渡期”内产生的与“资产池”相关的“税费”由“信托财产”承担，但由“委托人”先行缴纳，且“委托人”有权于向“受托人”转付“过渡期”“处置收入”时将</w:t>
      </w:r>
      <w:r>
        <w:rPr>
          <w:rFonts w:eastAsia="楷体_GB2312"/>
          <w:sz w:val="24"/>
        </w:rPr>
        <w:t>先行缴纳</w:t>
      </w:r>
      <w:r>
        <w:rPr>
          <w:rFonts w:eastAsia="楷体_GB2312"/>
          <w:snapToGrid w:val="0"/>
          <w:color w:val="000000"/>
          <w:kern w:val="28"/>
          <w:sz w:val="24"/>
          <w:szCs w:val="20"/>
        </w:rPr>
        <w:t>的“税费”金额予以扣除。</w:t>
      </w:r>
    </w:p>
    <w:p w14:paraId="249D4DC1">
      <w:pPr>
        <w:spacing w:line="360" w:lineRule="auto"/>
        <w:ind w:left="1701"/>
        <w:rPr>
          <w:rFonts w:eastAsia="楷体_GB2312"/>
          <w:snapToGrid w:val="0"/>
          <w:color w:val="FF0000"/>
          <w:kern w:val="28"/>
          <w:sz w:val="24"/>
          <w:szCs w:val="20"/>
          <w:highlight w:val="yellow"/>
        </w:rPr>
      </w:pPr>
      <w:r>
        <w:rPr>
          <w:rFonts w:eastAsia="楷体_GB2312"/>
          <w:b/>
          <w:bCs/>
          <w:i/>
          <w:iCs/>
          <w:snapToGrid w:val="0"/>
          <w:color w:val="FF0000"/>
          <w:kern w:val="28"/>
          <w:sz w:val="24"/>
          <w:szCs w:val="20"/>
        </w:rPr>
        <w:t>【注：“过渡期”内“税费”的承担方式待根据具体项目情况确定。】</w:t>
      </w:r>
    </w:p>
    <w:p w14:paraId="41BCA3AE">
      <w:pPr>
        <w:numPr>
          <w:ilvl w:val="2"/>
          <w:numId w:val="7"/>
        </w:numPr>
        <w:spacing w:line="360" w:lineRule="auto"/>
        <w:ind w:left="1701" w:hanging="708"/>
        <w:rPr>
          <w:rFonts w:eastAsia="楷体_GB2312"/>
          <w:snapToGrid w:val="0"/>
          <w:color w:val="000000"/>
          <w:kern w:val="28"/>
          <w:sz w:val="24"/>
          <w:szCs w:val="20"/>
        </w:rPr>
      </w:pPr>
      <w:bookmarkStart w:id="105" w:name="_Ref48076862"/>
      <w:r>
        <w:rPr>
          <w:rFonts w:eastAsia="楷体_GB2312"/>
          <w:color w:val="000000"/>
          <w:kern w:val="28"/>
          <w:sz w:val="24"/>
        </w:rPr>
        <w:t>在“过渡期”内，“委托人”</w:t>
      </w:r>
      <w:r>
        <w:rPr>
          <w:rFonts w:eastAsia="楷体_GB2312"/>
          <w:sz w:val="24"/>
        </w:rPr>
        <w:t>收到的“处置收入”对应的“处置费用”</w:t>
      </w:r>
      <w:r>
        <w:rPr>
          <w:rFonts w:eastAsia="楷体_GB2312"/>
          <w:color w:val="000000"/>
          <w:kern w:val="28"/>
          <w:sz w:val="24"/>
        </w:rPr>
        <w:t>由【“委托人”/“信托财产”】承担。</w:t>
      </w:r>
      <w:bookmarkStart w:id="106" w:name="_Ref47822992"/>
    </w:p>
    <w:p w14:paraId="7CE01762">
      <w:pPr>
        <w:numPr>
          <w:ilvl w:val="2"/>
          <w:numId w:val="7"/>
        </w:numPr>
        <w:spacing w:line="360" w:lineRule="auto"/>
        <w:ind w:left="1701" w:hanging="708"/>
        <w:rPr>
          <w:rFonts w:eastAsia="楷体_GB2312"/>
          <w:snapToGrid w:val="0"/>
          <w:color w:val="000000"/>
          <w:kern w:val="28"/>
          <w:sz w:val="24"/>
          <w:szCs w:val="20"/>
        </w:rPr>
      </w:pPr>
      <w:r>
        <w:rPr>
          <w:rFonts w:eastAsia="楷体_GB2312"/>
          <w:snapToGrid w:val="0"/>
          <w:color w:val="000000"/>
          <w:kern w:val="28"/>
          <w:sz w:val="24"/>
          <w:szCs w:val="20"/>
        </w:rPr>
        <w:t>“委托人”应将“过渡期”“资产池”的全部“处置收入”</w:t>
      </w:r>
      <w:r>
        <w:rPr>
          <w:rFonts w:eastAsia="楷体_GB2312"/>
          <w:sz w:val="24"/>
        </w:rPr>
        <w:t>（【扣除处置费用】/【扣除“过渡期”内</w:t>
      </w:r>
      <w:r>
        <w:rPr>
          <w:rFonts w:eastAsia="楷体_GB2312"/>
          <w:color w:val="000000"/>
          <w:sz w:val="24"/>
        </w:rPr>
        <w:t>“委托人”</w:t>
      </w:r>
      <w:r>
        <w:rPr>
          <w:rFonts w:eastAsia="楷体_GB2312"/>
          <w:sz w:val="24"/>
        </w:rPr>
        <w:t>先行缴纳的“资产池”相关“税费”，且不含该等“处置收入”产生的利息】）</w:t>
      </w:r>
      <w:r>
        <w:rPr>
          <w:rFonts w:eastAsia="楷体_GB2312"/>
          <w:snapToGrid w:val="0"/>
          <w:color w:val="000000"/>
          <w:kern w:val="28"/>
          <w:sz w:val="24"/>
          <w:szCs w:val="20"/>
        </w:rPr>
        <w:t>按照本合同第</w:t>
      </w:r>
      <w:r>
        <w:rPr>
          <w:rFonts w:eastAsia="楷体_GB2312"/>
          <w:snapToGrid w:val="0"/>
          <w:color w:val="000000"/>
          <w:kern w:val="28"/>
          <w:sz w:val="24"/>
          <w:szCs w:val="20"/>
        </w:rPr>
        <w:fldChar w:fldCharType="begin"/>
      </w:r>
      <w:r>
        <w:rPr>
          <w:rFonts w:eastAsia="楷体_GB2312"/>
          <w:snapToGrid w:val="0"/>
          <w:color w:val="000000"/>
          <w:kern w:val="28"/>
          <w:sz w:val="24"/>
          <w:szCs w:val="20"/>
        </w:rPr>
        <w:instrText xml:space="preserve"> REF _Ref221050744 \r \h  \* MERGEFORMAT </w:instrText>
      </w:r>
      <w:r>
        <w:rPr>
          <w:rFonts w:eastAsia="楷体_GB2312"/>
          <w:snapToGrid w:val="0"/>
          <w:color w:val="000000"/>
          <w:kern w:val="28"/>
          <w:sz w:val="24"/>
          <w:szCs w:val="20"/>
        </w:rPr>
        <w:fldChar w:fldCharType="separate"/>
      </w:r>
      <w:r>
        <w:rPr>
          <w:rFonts w:eastAsia="楷体_GB2312"/>
          <w:snapToGrid w:val="0"/>
          <w:color w:val="000000"/>
          <w:kern w:val="28"/>
          <w:sz w:val="24"/>
          <w:szCs w:val="20"/>
        </w:rPr>
        <w:t>3.10.3</w:t>
      </w:r>
      <w:r>
        <w:rPr>
          <w:rFonts w:eastAsia="楷体_GB2312"/>
          <w:snapToGrid w:val="0"/>
          <w:color w:val="000000"/>
          <w:kern w:val="28"/>
          <w:sz w:val="24"/>
          <w:szCs w:val="20"/>
        </w:rPr>
        <w:fldChar w:fldCharType="end"/>
      </w:r>
      <w:r>
        <w:rPr>
          <w:rFonts w:eastAsia="楷体_GB2312"/>
          <w:snapToGrid w:val="0"/>
          <w:color w:val="000000"/>
          <w:kern w:val="28"/>
          <w:sz w:val="24"/>
          <w:szCs w:val="20"/>
        </w:rPr>
        <w:t>款的约定交付给“受托人”。</w:t>
      </w:r>
      <w:bookmarkEnd w:id="105"/>
      <w:bookmarkEnd w:id="106"/>
    </w:p>
    <w:p w14:paraId="3BEE0E40">
      <w:pPr>
        <w:pStyle w:val="144"/>
        <w:spacing w:line="360" w:lineRule="auto"/>
        <w:ind w:left="1678" w:leftChars="799" w:firstLine="0" w:firstLineChars="0"/>
        <w:rPr>
          <w:snapToGrid w:val="0"/>
        </w:rPr>
      </w:pPr>
      <w:r>
        <w:rPr>
          <w:rFonts w:eastAsia="楷体_GB2312"/>
          <w:b/>
          <w:bCs/>
          <w:i/>
          <w:iCs/>
          <w:snapToGrid w:val="0"/>
          <w:color w:val="FF0000"/>
          <w:kern w:val="28"/>
          <w:sz w:val="24"/>
          <w:szCs w:val="20"/>
        </w:rPr>
        <w:t>【注：过渡期内处置费用的承担、处置费用是否扣除、是否包含产生的利息可根据具体项目情况调整。】</w:t>
      </w:r>
    </w:p>
    <w:bookmarkEnd w:id="56"/>
    <w:p w14:paraId="36A58CA2">
      <w:pPr>
        <w:numPr>
          <w:ilvl w:val="0"/>
          <w:numId w:val="7"/>
        </w:numPr>
        <w:spacing w:line="360" w:lineRule="auto"/>
        <w:outlineLvl w:val="0"/>
        <w:rPr>
          <w:rFonts w:eastAsia="楷体_GB2312"/>
          <w:b/>
          <w:color w:val="000000"/>
          <w:sz w:val="24"/>
        </w:rPr>
      </w:pPr>
      <w:bookmarkStart w:id="107" w:name="_DV_M133"/>
      <w:bookmarkEnd w:id="107"/>
      <w:bookmarkStart w:id="108" w:name="_Toc150895682"/>
      <w:bookmarkEnd w:id="108"/>
      <w:bookmarkStart w:id="109" w:name="_Toc146989560"/>
      <w:bookmarkEnd w:id="109"/>
      <w:bookmarkStart w:id="110" w:name="_DV_M137"/>
      <w:bookmarkEnd w:id="110"/>
      <w:bookmarkStart w:id="111" w:name="_Toc146989561"/>
      <w:bookmarkEnd w:id="111"/>
      <w:bookmarkStart w:id="112" w:name="_Toc148440764"/>
      <w:bookmarkEnd w:id="112"/>
      <w:bookmarkStart w:id="113" w:name="_DV_M44"/>
      <w:bookmarkEnd w:id="113"/>
      <w:bookmarkStart w:id="114" w:name="_Toc148384178"/>
      <w:bookmarkEnd w:id="114"/>
      <w:bookmarkStart w:id="115" w:name="_DV_M134"/>
      <w:bookmarkEnd w:id="115"/>
      <w:bookmarkStart w:id="116" w:name="_Toc148384179"/>
      <w:bookmarkEnd w:id="116"/>
      <w:bookmarkStart w:id="117" w:name="_Toc148384174"/>
      <w:bookmarkEnd w:id="117"/>
      <w:bookmarkStart w:id="118" w:name="_DV_M136"/>
      <w:bookmarkEnd w:id="118"/>
      <w:bookmarkStart w:id="119" w:name="_Toc204497517"/>
      <w:bookmarkEnd w:id="119"/>
      <w:bookmarkStart w:id="120" w:name="_DV_M132"/>
      <w:bookmarkEnd w:id="120"/>
      <w:bookmarkStart w:id="121" w:name="_Toc148384176"/>
      <w:bookmarkEnd w:id="121"/>
      <w:bookmarkStart w:id="122" w:name="_Toc148440766"/>
      <w:bookmarkEnd w:id="122"/>
      <w:bookmarkStart w:id="123" w:name="_DV_M135"/>
      <w:bookmarkEnd w:id="123"/>
      <w:bookmarkStart w:id="124" w:name="_Toc146989559"/>
      <w:bookmarkEnd w:id="124"/>
      <w:bookmarkStart w:id="125" w:name="_DV_M43"/>
      <w:bookmarkEnd w:id="125"/>
      <w:bookmarkStart w:id="126" w:name="_Toc456258837"/>
      <w:bookmarkEnd w:id="126"/>
      <w:bookmarkStart w:id="127" w:name="_DV_M45"/>
      <w:bookmarkEnd w:id="127"/>
      <w:bookmarkStart w:id="128" w:name="_DV_M47"/>
      <w:bookmarkEnd w:id="128"/>
      <w:bookmarkStart w:id="129" w:name="_Toc148440768"/>
      <w:bookmarkEnd w:id="129"/>
      <w:bookmarkStart w:id="130" w:name="_Toc148440769"/>
      <w:bookmarkEnd w:id="130"/>
      <w:bookmarkStart w:id="131" w:name="_Ref456167958"/>
      <w:bookmarkStart w:id="132" w:name="_Toc201569382"/>
      <w:bookmarkStart w:id="133" w:name="_Ref336008482"/>
      <w:bookmarkStart w:id="134" w:name="_Ref340082454"/>
      <w:bookmarkStart w:id="135" w:name="_Ref201647086"/>
      <w:bookmarkStart w:id="136" w:name="_Toc225538152"/>
      <w:bookmarkStart w:id="137" w:name="_Toc219710671"/>
      <w:bookmarkStart w:id="138" w:name="_Ref456167997"/>
      <w:bookmarkStart w:id="139" w:name="_Toc201490205"/>
      <w:r>
        <w:rPr>
          <w:rFonts w:eastAsia="楷体_GB2312"/>
          <w:b/>
          <w:color w:val="000000"/>
          <w:sz w:val="24"/>
          <w:lang w:val="en-GB"/>
        </w:rPr>
        <w:t>不合格资产的</w:t>
      </w:r>
      <w:r>
        <w:rPr>
          <w:rFonts w:eastAsia="楷体_GB2312"/>
          <w:b/>
          <w:color w:val="000000"/>
          <w:sz w:val="24"/>
        </w:rPr>
        <w:t>赎回</w:t>
      </w:r>
      <w:bookmarkEnd w:id="131"/>
      <w:bookmarkEnd w:id="132"/>
      <w:bookmarkEnd w:id="133"/>
      <w:bookmarkEnd w:id="134"/>
      <w:bookmarkEnd w:id="135"/>
      <w:bookmarkEnd w:id="136"/>
      <w:bookmarkEnd w:id="137"/>
      <w:bookmarkEnd w:id="138"/>
      <w:bookmarkEnd w:id="139"/>
    </w:p>
    <w:p w14:paraId="08110576">
      <w:pPr>
        <w:spacing w:line="360" w:lineRule="auto"/>
        <w:ind w:firstLine="420"/>
        <w:rPr>
          <w:rFonts w:eastAsia="楷体_GB2312"/>
          <w:b/>
          <w:bCs/>
          <w:i/>
          <w:iCs/>
          <w:snapToGrid w:val="0"/>
          <w:color w:val="FF0000"/>
          <w:kern w:val="28"/>
          <w:sz w:val="24"/>
          <w:szCs w:val="20"/>
        </w:rPr>
      </w:pPr>
      <w:r>
        <w:rPr>
          <w:rFonts w:eastAsia="楷体_GB2312"/>
          <w:b/>
          <w:bCs/>
          <w:i/>
          <w:iCs/>
          <w:snapToGrid w:val="0"/>
          <w:color w:val="FF0000"/>
          <w:kern w:val="28"/>
          <w:sz w:val="24"/>
          <w:szCs w:val="20"/>
        </w:rPr>
        <w:t>【注：不合格资产的赎回流程可根据具体项目情况调整。】</w:t>
      </w:r>
    </w:p>
    <w:p w14:paraId="100B34D8">
      <w:pPr>
        <w:numPr>
          <w:ilvl w:val="1"/>
          <w:numId w:val="7"/>
        </w:numPr>
        <w:spacing w:line="360" w:lineRule="auto"/>
        <w:rPr>
          <w:rFonts w:eastAsia="楷体_GB2312"/>
          <w:color w:val="000000"/>
          <w:sz w:val="24"/>
        </w:rPr>
      </w:pPr>
      <w:bookmarkStart w:id="140" w:name="_Toc201569383"/>
      <w:bookmarkStart w:id="141" w:name="_Ref201483343"/>
      <w:bookmarkStart w:id="142" w:name="_Ref204427100"/>
      <w:r>
        <w:rPr>
          <w:rFonts w:eastAsia="楷体_GB2312"/>
          <w:b/>
          <w:color w:val="000000"/>
          <w:sz w:val="24"/>
        </w:rPr>
        <w:t>不合格资产的赎回</w:t>
      </w:r>
    </w:p>
    <w:p w14:paraId="18F7060F">
      <w:pPr>
        <w:numPr>
          <w:ilvl w:val="2"/>
          <w:numId w:val="7"/>
        </w:numPr>
        <w:spacing w:line="360" w:lineRule="auto"/>
        <w:ind w:left="1701" w:hanging="708"/>
        <w:rPr>
          <w:rFonts w:eastAsia="楷体_GB2312"/>
          <w:color w:val="000000"/>
          <w:sz w:val="24"/>
        </w:rPr>
      </w:pPr>
      <w:bookmarkStart w:id="143" w:name="_Ref303849105"/>
      <w:r>
        <w:rPr>
          <w:rFonts w:eastAsia="楷体_GB2312"/>
          <w:color w:val="000000"/>
          <w:sz w:val="24"/>
        </w:rPr>
        <w:t>在“信托期限”内，如“委托人”、“受托人”或者“贷款服务机构”发现</w:t>
      </w:r>
      <w:r>
        <w:rPr>
          <w:rFonts w:eastAsia="楷体_GB2312"/>
          <w:snapToGrid w:val="0"/>
          <w:color w:val="000000"/>
          <w:kern w:val="28"/>
          <w:sz w:val="24"/>
          <w:szCs w:val="20"/>
        </w:rPr>
        <w:t>“不合格资产”</w:t>
      </w:r>
      <w:r>
        <w:rPr>
          <w:rFonts w:eastAsia="楷体_GB2312"/>
          <w:color w:val="000000"/>
          <w:sz w:val="24"/>
        </w:rPr>
        <w:t>，则“委托人”或“贷款服务机构”应在发现“不合格资产”后【】个“工作日”内通知“受托人”；“受托人”有权通知“委托人”对前述“不合格资产”予以“赎回”。在“受托人”发出“赎回”“不合格资产”的通知时，“受托人”应出具相关</w:t>
      </w:r>
      <w:r>
        <w:rPr>
          <w:rFonts w:eastAsia="楷体_GB2312"/>
          <w:bCs/>
          <w:color w:val="000000"/>
          <w:sz w:val="24"/>
        </w:rPr>
        <w:t>“</w:t>
      </w:r>
      <w:r>
        <w:rPr>
          <w:rFonts w:eastAsia="楷体_GB2312"/>
          <w:bCs/>
          <w:snapToGrid w:val="0"/>
          <w:color w:val="000000"/>
          <w:kern w:val="28"/>
          <w:sz w:val="24"/>
          <w:szCs w:val="20"/>
        </w:rPr>
        <w:t>资产</w:t>
      </w:r>
      <w:r>
        <w:rPr>
          <w:rFonts w:eastAsia="楷体_GB2312"/>
          <w:bCs/>
          <w:color w:val="000000"/>
          <w:sz w:val="24"/>
        </w:rPr>
        <w:t>”</w:t>
      </w:r>
      <w:r>
        <w:rPr>
          <w:rFonts w:eastAsia="楷体_GB2312"/>
          <w:color w:val="000000"/>
          <w:sz w:val="24"/>
        </w:rPr>
        <w:t>不合格的书面理由。</w:t>
      </w:r>
      <w:bookmarkEnd w:id="143"/>
    </w:p>
    <w:p w14:paraId="57B01AC8">
      <w:pPr>
        <w:numPr>
          <w:ilvl w:val="2"/>
          <w:numId w:val="7"/>
        </w:numPr>
        <w:spacing w:line="360" w:lineRule="auto"/>
        <w:ind w:left="1701" w:hanging="708"/>
        <w:rPr>
          <w:rFonts w:eastAsia="楷体_GB2312"/>
          <w:color w:val="000000"/>
          <w:sz w:val="24"/>
        </w:rPr>
      </w:pPr>
      <w:bookmarkStart w:id="144" w:name="_Ref331593435"/>
      <w:r>
        <w:rPr>
          <w:rFonts w:eastAsia="楷体_GB2312"/>
          <w:color w:val="000000"/>
          <w:sz w:val="24"/>
        </w:rPr>
        <w:t>如“受托人</w:t>
      </w:r>
      <w:bookmarkStart w:id="145" w:name="OLE_LINK4"/>
      <w:bookmarkStart w:id="146" w:name="OLE_LINK5"/>
      <w:r>
        <w:rPr>
          <w:rFonts w:eastAsia="楷体_GB2312"/>
          <w:color w:val="000000"/>
          <w:sz w:val="24"/>
        </w:rPr>
        <w:t>”</w:t>
      </w:r>
      <w:bookmarkEnd w:id="145"/>
      <w:bookmarkEnd w:id="146"/>
      <w:r>
        <w:rPr>
          <w:rFonts w:eastAsia="楷体_GB2312"/>
          <w:color w:val="000000"/>
          <w:sz w:val="24"/>
        </w:rPr>
        <w:t>提出“赎回”相应“不合格资产”的书面要求，且“委托人”对“受托人”的赎回要求无异议，则“委托人”应不晚于发出该书面通知要求所在的“收款期间”后的第一个“处置收入转付日”，将等同于待“赎回”全部“不合格资产”的“赎回价格”的款项一次性划付到“信托账户”。</w:t>
      </w:r>
      <w:bookmarkEnd w:id="144"/>
      <w:r>
        <w:rPr>
          <w:rFonts w:eastAsia="楷体_GB2312"/>
          <w:color w:val="000000"/>
          <w:kern w:val="0"/>
          <w:sz w:val="24"/>
        </w:rPr>
        <w:t>但如果“委托人”在首个“收款期间”结束前“赎回”“不合格资产”（如适用），则</w:t>
      </w:r>
      <w:r>
        <w:rPr>
          <w:rFonts w:eastAsia="楷体_GB2312"/>
          <w:color w:val="000000"/>
          <w:sz w:val="24"/>
        </w:rPr>
        <w:t>“委托人”与“受托人”共同协商确定“回购起算日”，“委托人”应于“回购起算日”【当日/后【】个“工作日”内】或“委托人”与“受托人”协商确认的其他日期将相当于“赎回价格”的款项一次性划付到“信托账户”。</w:t>
      </w:r>
    </w:p>
    <w:p w14:paraId="1A004060">
      <w:pPr>
        <w:numPr>
          <w:ilvl w:val="2"/>
          <w:numId w:val="7"/>
        </w:numPr>
        <w:spacing w:line="360" w:lineRule="auto"/>
        <w:ind w:left="1701" w:hanging="708"/>
        <w:rPr>
          <w:rFonts w:eastAsia="楷体_GB2312"/>
          <w:color w:val="000000"/>
        </w:rPr>
      </w:pPr>
      <w:r>
        <w:rPr>
          <w:rFonts w:eastAsia="楷体_GB2312"/>
          <w:color w:val="000000"/>
          <w:sz w:val="24"/>
        </w:rPr>
        <w:t>自“回购起算日”起（【含/不含】该日），(1)“受托人”对该“不合格资产”和相关</w:t>
      </w:r>
      <w:r>
        <w:rPr>
          <w:rFonts w:eastAsia="楷体_GB2312"/>
          <w:snapToGrid w:val="0"/>
          <w:color w:val="000000"/>
          <w:kern w:val="28"/>
          <w:sz w:val="24"/>
          <w:szCs w:val="20"/>
        </w:rPr>
        <w:t>“账户记录”</w:t>
      </w:r>
      <w:r>
        <w:rPr>
          <w:rFonts w:eastAsia="楷体_GB2312"/>
          <w:color w:val="000000"/>
          <w:sz w:val="24"/>
        </w:rPr>
        <w:t>的（现时的和未来的、实际的和或有的）权利、权益、利益和收益全部转让给“委托人”；(2)相关“账户记录”应由或被视为由作为“受托人”代理人的“贷款服务机构”交付给“委托人”。在“委托人”承担费用的前提下，“受托人”应按照“委托人”的合理意见，协助“委托人”办理必要的所有变更登记和通知手续（如有）。</w:t>
      </w:r>
    </w:p>
    <w:p w14:paraId="16B274ED">
      <w:pPr>
        <w:numPr>
          <w:ilvl w:val="2"/>
          <w:numId w:val="7"/>
        </w:numPr>
        <w:spacing w:line="360" w:lineRule="auto"/>
        <w:ind w:left="1701" w:hanging="708"/>
        <w:rPr>
          <w:color w:val="000000"/>
        </w:rPr>
      </w:pPr>
      <w:r>
        <w:rPr>
          <w:rFonts w:eastAsia="楷体_GB2312"/>
          <w:color w:val="000000"/>
          <w:sz w:val="24"/>
        </w:rPr>
        <w:t>在“委托人”从“受托人”处“赎回”相关“不合格资产”并支付相当于“赎回价格”的资金后，“受托人”不应就赎回的“不合格资产”要求“委托人”再承担任何责任。“贷款服务机构”应于相应的“回购起算日”</w:t>
      </w:r>
      <w:r>
        <w:rPr>
          <w:rFonts w:eastAsia="楷体_GB2312"/>
          <w:color w:val="000000" w:themeColor="text1"/>
          <w:sz w:val="24"/>
          <w14:textFill>
            <w14:solidFill>
              <w14:schemeClr w14:val="tx1"/>
            </w14:solidFill>
          </w14:textFill>
        </w:rPr>
        <w:t>后【】个“工作日”内/日终</w:t>
      </w:r>
      <w:r>
        <w:rPr>
          <w:rFonts w:eastAsia="楷体_GB2312"/>
          <w:color w:val="000000"/>
          <w:sz w:val="24"/>
        </w:rPr>
        <w:t>或“受托人”要求的其他日期确定每笔“不合格资产”的“赎回价格”并通知“受托人”。</w:t>
      </w:r>
    </w:p>
    <w:p w14:paraId="573C579A">
      <w:pPr>
        <w:numPr>
          <w:ilvl w:val="2"/>
          <w:numId w:val="7"/>
        </w:numPr>
        <w:spacing w:line="360" w:lineRule="auto"/>
        <w:ind w:left="1701" w:hanging="708"/>
        <w:rPr>
          <w:rFonts w:eastAsia="楷体_GB2312"/>
          <w:color w:val="000000"/>
          <w:sz w:val="24"/>
        </w:rPr>
      </w:pPr>
      <w:r>
        <w:rPr>
          <w:rFonts w:eastAsia="楷体_GB2312"/>
          <w:color w:val="000000"/>
          <w:sz w:val="24"/>
        </w:rPr>
        <w:t>双方同意并确认，该等“不合格资产”自“初始起算日”（【含/不含】该日）起至“回购起算日”（【含/不含】该日）产生的全部“处置收入”（【扣除处置费用】/【扣除“过渡期”内“委托人”先行缴纳的“资产池”相关“税费”（如有），且不含该等“处置收入”产生的利息】）属于“信托财产”，应将该等“处置收入”记入“信托收款账户”；该等“不合格资产”自“初始起算日”【</w:t>
      </w:r>
      <w:r>
        <w:rPr>
          <w:rFonts w:eastAsia="楷体_GB2312"/>
          <w:i/>
          <w:iCs/>
          <w:sz w:val="24"/>
        </w:rPr>
        <w:t>具体时点</w:t>
      </w:r>
      <w:r>
        <w:rPr>
          <w:rFonts w:eastAsia="楷体_GB2312"/>
          <w:color w:val="000000"/>
          <w:sz w:val="24"/>
        </w:rPr>
        <w:t>】至“回购起算日”【</w:t>
      </w:r>
      <w:r>
        <w:rPr>
          <w:rFonts w:eastAsia="楷体_GB2312"/>
          <w:i/>
          <w:iCs/>
          <w:sz w:val="24"/>
        </w:rPr>
        <w:t>具体时点</w:t>
      </w:r>
      <w:r>
        <w:rPr>
          <w:rFonts w:eastAsia="楷体_GB2312"/>
          <w:color w:val="000000"/>
          <w:sz w:val="24"/>
        </w:rPr>
        <w:t>】发生的全部“处置费用”【（“过渡期”“处置费用”除外）】由“受托人”根据本合同第</w:t>
      </w:r>
      <w:r>
        <w:rPr>
          <w:rFonts w:eastAsia="楷体_GB2312"/>
          <w:color w:val="000000"/>
          <w:sz w:val="24"/>
        </w:rPr>
        <w:fldChar w:fldCharType="begin"/>
      </w:r>
      <w:r>
        <w:rPr>
          <w:rFonts w:eastAsia="楷体_GB2312"/>
          <w:color w:val="000000"/>
          <w:sz w:val="24"/>
        </w:rPr>
        <w:instrText xml:space="preserve"> REF _Ref201563930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条的约定向作为“贷款服务机构”的“委托人”支付；该等“不合格资产”自“回购起算日”【</w:t>
      </w:r>
      <w:r>
        <w:rPr>
          <w:rFonts w:eastAsia="楷体_GB2312"/>
          <w:i/>
          <w:iCs/>
          <w:sz w:val="24"/>
        </w:rPr>
        <w:t>具体时点</w:t>
      </w:r>
      <w:r>
        <w:rPr>
          <w:rFonts w:eastAsia="楷体_GB2312"/>
          <w:color w:val="000000"/>
          <w:sz w:val="24"/>
        </w:rPr>
        <w:t>】起发生的“处置费用”由“委托人”自行承担。</w:t>
      </w:r>
    </w:p>
    <w:p w14:paraId="40F98EEE">
      <w:pPr>
        <w:spacing w:line="360" w:lineRule="auto"/>
        <w:ind w:left="1701"/>
        <w:rPr>
          <w:rFonts w:eastAsia="楷体_GB2312"/>
          <w:color w:val="000000"/>
          <w:sz w:val="24"/>
        </w:rPr>
      </w:pPr>
      <w:r>
        <w:rPr>
          <w:rFonts w:eastAsia="楷体_GB2312"/>
          <w:b/>
          <w:bCs/>
          <w:i/>
          <w:iCs/>
          <w:color w:val="FF0000"/>
          <w:sz w:val="24"/>
        </w:rPr>
        <w:t>【注：不合格资产的处置费用的承担主体和承担方式可根据具体项目情况调整。】</w:t>
      </w:r>
    </w:p>
    <w:p w14:paraId="40ED0E16">
      <w:pPr>
        <w:numPr>
          <w:ilvl w:val="2"/>
          <w:numId w:val="7"/>
        </w:numPr>
        <w:spacing w:line="360" w:lineRule="auto"/>
        <w:ind w:left="1701" w:hanging="708"/>
        <w:rPr>
          <w:rFonts w:eastAsia="楷体_GB2312"/>
          <w:color w:val="000000"/>
          <w:sz w:val="24"/>
        </w:rPr>
      </w:pPr>
      <w:r>
        <w:rPr>
          <w:rFonts w:eastAsia="楷体_GB2312"/>
          <w:color w:val="000000"/>
          <w:sz w:val="24"/>
        </w:rPr>
        <w:t>如果“委托人”对“受托人”的赎回要求持有异议，双方可以在“受托人”提出赎回要求的【】日内进行友好协商。如果在该期限内双方无法达成一致意见，任何一方可按本合同第</w:t>
      </w:r>
      <w:r>
        <w:rPr>
          <w:rFonts w:eastAsia="楷体_GB2312"/>
          <w:color w:val="000000"/>
        </w:rPr>
        <w:fldChar w:fldCharType="begin"/>
      </w:r>
      <w:r>
        <w:rPr>
          <w:rFonts w:eastAsia="楷体_GB2312"/>
          <w:color w:val="000000"/>
        </w:rPr>
        <w:instrText xml:space="preserve"> REF _Ref111020368 \r \h  \* MERGEFORMAT </w:instrText>
      </w:r>
      <w:r>
        <w:rPr>
          <w:rFonts w:eastAsia="楷体_GB2312"/>
          <w:color w:val="000000"/>
        </w:rPr>
        <w:fldChar w:fldCharType="separate"/>
      </w:r>
      <w:r>
        <w:rPr>
          <w:rFonts w:eastAsia="楷体_GB2312"/>
          <w:color w:val="000000"/>
          <w:sz w:val="24"/>
        </w:rPr>
        <w:t>24</w:t>
      </w:r>
      <w:r>
        <w:rPr>
          <w:rFonts w:eastAsia="楷体_GB2312"/>
          <w:color w:val="000000"/>
        </w:rPr>
        <w:fldChar w:fldCharType="end"/>
      </w:r>
      <w:r>
        <w:rPr>
          <w:rFonts w:eastAsia="楷体_GB2312"/>
          <w:color w:val="000000"/>
          <w:sz w:val="24"/>
        </w:rPr>
        <w:t>条的约定将争议提交诉讼解决。</w:t>
      </w:r>
    </w:p>
    <w:p w14:paraId="614242B9">
      <w:pPr>
        <w:numPr>
          <w:ilvl w:val="2"/>
          <w:numId w:val="7"/>
        </w:numPr>
        <w:spacing w:line="360" w:lineRule="auto"/>
        <w:ind w:left="1701" w:hanging="708"/>
        <w:rPr>
          <w:color w:val="000000"/>
        </w:rPr>
      </w:pPr>
      <w:r>
        <w:rPr>
          <w:rFonts w:eastAsia="楷体_GB2312"/>
          <w:color w:val="000000"/>
          <w:sz w:val="24"/>
        </w:rPr>
        <w:t>因进行“不合格资产”“赎回”所发生的费用由“委托人”承担。除本合同第</w:t>
      </w:r>
      <w:r>
        <w:rPr>
          <w:rFonts w:eastAsia="楷体_GB2312"/>
          <w:color w:val="000000"/>
        </w:rPr>
        <w:fldChar w:fldCharType="begin"/>
      </w:r>
      <w:r>
        <w:rPr>
          <w:rFonts w:eastAsia="楷体_GB2312"/>
          <w:color w:val="000000"/>
        </w:rPr>
        <w:instrText xml:space="preserve"> REF _Ref303849105 \r \h  \* MERGEFORMAT </w:instrText>
      </w:r>
      <w:r>
        <w:rPr>
          <w:rFonts w:eastAsia="楷体_GB2312"/>
          <w:color w:val="000000"/>
        </w:rPr>
        <w:fldChar w:fldCharType="separate"/>
      </w:r>
      <w:r>
        <w:rPr>
          <w:rFonts w:eastAsia="楷体_GB2312"/>
          <w:color w:val="000000"/>
          <w:sz w:val="24"/>
        </w:rPr>
        <w:t>4.1.1</w:t>
      </w:r>
      <w:r>
        <w:rPr>
          <w:rFonts w:eastAsia="楷体_GB2312"/>
          <w:color w:val="000000"/>
        </w:rPr>
        <w:fldChar w:fldCharType="end"/>
      </w:r>
      <w:r>
        <w:rPr>
          <w:rFonts w:eastAsia="楷体_GB2312"/>
          <w:color w:val="000000"/>
          <w:sz w:val="24"/>
        </w:rPr>
        <w:t>款约定的情形外，“委托人”不对“</w:t>
      </w:r>
      <w:r>
        <w:rPr>
          <w:rFonts w:eastAsia="楷体_GB2312"/>
          <w:bCs/>
          <w:snapToGrid w:val="0"/>
          <w:color w:val="000000"/>
          <w:kern w:val="28"/>
          <w:sz w:val="24"/>
          <w:szCs w:val="20"/>
        </w:rPr>
        <w:t>资产</w:t>
      </w:r>
      <w:r>
        <w:rPr>
          <w:rFonts w:eastAsia="楷体_GB2312"/>
          <w:color w:val="000000"/>
          <w:sz w:val="24"/>
        </w:rPr>
        <w:t>”进行“赎回”。</w:t>
      </w:r>
    </w:p>
    <w:p w14:paraId="4606A027">
      <w:pPr>
        <w:numPr>
          <w:ilvl w:val="1"/>
          <w:numId w:val="7"/>
        </w:numPr>
        <w:spacing w:line="360" w:lineRule="auto"/>
        <w:rPr>
          <w:rFonts w:eastAsia="楷体_GB2312"/>
          <w:color w:val="000000"/>
          <w:sz w:val="24"/>
        </w:rPr>
      </w:pPr>
      <w:r>
        <w:rPr>
          <w:rFonts w:eastAsia="楷体_GB2312"/>
          <w:b/>
          <w:snapToGrid w:val="0"/>
          <w:kern w:val="28"/>
          <w:sz w:val="24"/>
          <w:szCs w:val="20"/>
        </w:rPr>
        <w:t>赎回</w:t>
      </w:r>
      <w:r>
        <w:rPr>
          <w:rFonts w:eastAsia="楷体_GB2312"/>
          <w:b/>
          <w:color w:val="000000"/>
          <w:sz w:val="24"/>
        </w:rPr>
        <w:t>的效果</w:t>
      </w:r>
    </w:p>
    <w:p w14:paraId="073AD60F">
      <w:pPr>
        <w:spacing w:line="360" w:lineRule="auto"/>
        <w:ind w:left="992"/>
        <w:rPr>
          <w:rFonts w:eastAsia="楷体_GB2312"/>
          <w:color w:val="000000"/>
        </w:rPr>
      </w:pPr>
      <w:r>
        <w:rPr>
          <w:rFonts w:eastAsia="楷体_GB2312"/>
          <w:color w:val="000000"/>
          <w:sz w:val="24"/>
        </w:rPr>
        <w:t>自“回购起算日”起（【含/不含】该日），被“赎回”的“不合格资产”不再属于“信托财产”，其产生的任何“处置收入”归“委托人”所有。</w:t>
      </w:r>
    </w:p>
    <w:bookmarkEnd w:id="140"/>
    <w:bookmarkEnd w:id="141"/>
    <w:bookmarkEnd w:id="142"/>
    <w:p w14:paraId="7732A169">
      <w:pPr>
        <w:numPr>
          <w:ilvl w:val="0"/>
          <w:numId w:val="7"/>
        </w:numPr>
        <w:spacing w:line="360" w:lineRule="auto"/>
        <w:outlineLvl w:val="0"/>
        <w:rPr>
          <w:rFonts w:eastAsia="楷体_GB2312"/>
          <w:b/>
          <w:i/>
          <w:iCs/>
          <w:color w:val="000000"/>
          <w:sz w:val="24"/>
        </w:rPr>
      </w:pPr>
      <w:bookmarkStart w:id="147" w:name="_Toc340397601"/>
      <w:bookmarkEnd w:id="147"/>
      <w:bookmarkStart w:id="148" w:name="_Toc340397590"/>
      <w:bookmarkEnd w:id="148"/>
      <w:bookmarkStart w:id="149" w:name="_Toc340397977"/>
      <w:bookmarkEnd w:id="149"/>
      <w:bookmarkStart w:id="150" w:name="_Toc340397591"/>
      <w:bookmarkEnd w:id="150"/>
      <w:bookmarkStart w:id="151" w:name="_Toc340397981"/>
      <w:bookmarkEnd w:id="151"/>
      <w:bookmarkStart w:id="152" w:name="_Toc340397134"/>
      <w:bookmarkEnd w:id="152"/>
      <w:bookmarkStart w:id="153" w:name="_Toc340397136"/>
      <w:bookmarkEnd w:id="153"/>
      <w:bookmarkStart w:id="154" w:name="_Toc340397375"/>
      <w:bookmarkEnd w:id="154"/>
      <w:bookmarkStart w:id="155" w:name="_Toc219654258"/>
      <w:bookmarkEnd w:id="155"/>
      <w:bookmarkStart w:id="156" w:name="_Toc340397378"/>
      <w:bookmarkEnd w:id="156"/>
      <w:bookmarkStart w:id="157" w:name="_Toc340397381"/>
      <w:bookmarkEnd w:id="157"/>
      <w:bookmarkStart w:id="158" w:name="_Toc340397983"/>
      <w:bookmarkEnd w:id="158"/>
      <w:bookmarkStart w:id="159" w:name="_Toc340397985"/>
      <w:bookmarkEnd w:id="159"/>
      <w:bookmarkStart w:id="160" w:name="_Toc340397126"/>
      <w:bookmarkEnd w:id="160"/>
      <w:bookmarkStart w:id="161" w:name="_Toc340397376"/>
      <w:bookmarkEnd w:id="161"/>
      <w:bookmarkStart w:id="162" w:name="_Toc340397135"/>
      <w:bookmarkEnd w:id="162"/>
      <w:bookmarkStart w:id="163" w:name="_Toc340397139"/>
      <w:bookmarkEnd w:id="163"/>
      <w:bookmarkStart w:id="164" w:name="_Toc340397383"/>
      <w:bookmarkEnd w:id="164"/>
      <w:bookmarkStart w:id="165" w:name="_Toc340397373"/>
      <w:bookmarkEnd w:id="165"/>
      <w:bookmarkStart w:id="166" w:name="_Toc340397127"/>
      <w:bookmarkEnd w:id="166"/>
      <w:bookmarkStart w:id="167" w:name="_Toc340397597"/>
      <w:bookmarkEnd w:id="167"/>
      <w:bookmarkStart w:id="168" w:name="_Toc340397128"/>
      <w:bookmarkEnd w:id="168"/>
      <w:bookmarkStart w:id="169" w:name="_Toc340397390"/>
      <w:bookmarkEnd w:id="169"/>
      <w:bookmarkStart w:id="170" w:name="_Toc340397595"/>
      <w:bookmarkEnd w:id="170"/>
      <w:bookmarkStart w:id="171" w:name="_Toc340397137"/>
      <w:bookmarkEnd w:id="171"/>
      <w:bookmarkStart w:id="172" w:name="_Toc340397598"/>
      <w:bookmarkEnd w:id="172"/>
      <w:bookmarkStart w:id="173" w:name="_Toc340397979"/>
      <w:bookmarkEnd w:id="173"/>
      <w:bookmarkStart w:id="174" w:name="_Toc204497520"/>
      <w:bookmarkEnd w:id="174"/>
      <w:bookmarkStart w:id="175" w:name="_Toc340397988"/>
      <w:bookmarkEnd w:id="175"/>
      <w:bookmarkStart w:id="176" w:name="_Toc340397593"/>
      <w:bookmarkEnd w:id="176"/>
      <w:bookmarkStart w:id="177" w:name="_Toc340397978"/>
      <w:bookmarkEnd w:id="177"/>
      <w:bookmarkStart w:id="178" w:name="_Toc340397382"/>
      <w:bookmarkEnd w:id="178"/>
      <w:bookmarkStart w:id="179" w:name="_Toc340397990"/>
      <w:bookmarkEnd w:id="179"/>
      <w:bookmarkStart w:id="180" w:name="_Toc340397384"/>
      <w:bookmarkEnd w:id="180"/>
      <w:bookmarkStart w:id="181" w:name="_Toc340397594"/>
      <w:bookmarkEnd w:id="181"/>
      <w:bookmarkStart w:id="182" w:name="_Toc340397984"/>
      <w:bookmarkEnd w:id="182"/>
      <w:bookmarkStart w:id="183" w:name="_Toc340397989"/>
      <w:bookmarkEnd w:id="183"/>
      <w:bookmarkStart w:id="184" w:name="_Toc340397131"/>
      <w:bookmarkEnd w:id="184"/>
      <w:bookmarkStart w:id="185" w:name="_Toc340397141"/>
      <w:bookmarkEnd w:id="185"/>
      <w:bookmarkStart w:id="186" w:name="_Toc340397133"/>
      <w:bookmarkEnd w:id="186"/>
      <w:bookmarkStart w:id="187" w:name="_Toc340397976"/>
      <w:bookmarkEnd w:id="187"/>
      <w:bookmarkStart w:id="188" w:name="_Toc340397385"/>
      <w:bookmarkEnd w:id="188"/>
      <w:bookmarkStart w:id="189" w:name="_Toc340397587"/>
      <w:bookmarkEnd w:id="189"/>
      <w:bookmarkStart w:id="190" w:name="_Toc340397586"/>
      <w:bookmarkEnd w:id="190"/>
      <w:bookmarkStart w:id="191" w:name="_Toc340397974"/>
      <w:bookmarkEnd w:id="191"/>
      <w:bookmarkStart w:id="192" w:name="_Toc340397379"/>
      <w:bookmarkEnd w:id="192"/>
      <w:bookmarkStart w:id="193" w:name="_Toc340397592"/>
      <w:bookmarkEnd w:id="193"/>
      <w:bookmarkStart w:id="194" w:name="_Toc340397987"/>
      <w:bookmarkEnd w:id="194"/>
      <w:bookmarkStart w:id="195" w:name="_Toc340397374"/>
      <w:bookmarkEnd w:id="195"/>
      <w:bookmarkStart w:id="196" w:name="_Toc340397986"/>
      <w:bookmarkEnd w:id="196"/>
      <w:bookmarkStart w:id="197" w:name="_Toc340397380"/>
      <w:bookmarkEnd w:id="197"/>
      <w:bookmarkStart w:id="198" w:name="_Toc340397130"/>
      <w:bookmarkEnd w:id="198"/>
      <w:bookmarkStart w:id="199" w:name="_Toc340397125"/>
      <w:bookmarkEnd w:id="199"/>
      <w:bookmarkStart w:id="200" w:name="_Toc340397129"/>
      <w:bookmarkEnd w:id="200"/>
      <w:bookmarkStart w:id="201" w:name="_Toc340397980"/>
      <w:bookmarkEnd w:id="201"/>
      <w:bookmarkStart w:id="202" w:name="_Toc340397982"/>
      <w:bookmarkEnd w:id="202"/>
      <w:bookmarkStart w:id="203" w:name="_Toc340397386"/>
      <w:bookmarkEnd w:id="203"/>
      <w:bookmarkStart w:id="204" w:name="_Toc340397602"/>
      <w:bookmarkEnd w:id="204"/>
      <w:bookmarkStart w:id="205" w:name="_Toc340397588"/>
      <w:bookmarkEnd w:id="205"/>
      <w:bookmarkStart w:id="206" w:name="_Toc340397138"/>
      <w:bookmarkEnd w:id="206"/>
      <w:bookmarkStart w:id="207" w:name="_Toc340397596"/>
      <w:bookmarkEnd w:id="207"/>
      <w:bookmarkStart w:id="208" w:name="_Toc340397124"/>
      <w:bookmarkEnd w:id="208"/>
      <w:bookmarkStart w:id="209" w:name="_Toc340397388"/>
      <w:bookmarkEnd w:id="209"/>
      <w:bookmarkStart w:id="210" w:name="_Toc219654329"/>
      <w:bookmarkEnd w:id="210"/>
      <w:bookmarkStart w:id="211" w:name="_Toc340397589"/>
      <w:bookmarkEnd w:id="211"/>
      <w:bookmarkStart w:id="212" w:name="_Toc340397600"/>
      <w:bookmarkEnd w:id="212"/>
      <w:bookmarkStart w:id="213" w:name="_Toc340397377"/>
      <w:bookmarkEnd w:id="213"/>
      <w:bookmarkStart w:id="214" w:name="_Toc340397389"/>
      <w:bookmarkEnd w:id="214"/>
      <w:bookmarkStart w:id="215" w:name="_Toc340397387"/>
      <w:bookmarkEnd w:id="215"/>
      <w:bookmarkStart w:id="216" w:name="_Toc340397132"/>
      <w:bookmarkEnd w:id="216"/>
      <w:bookmarkStart w:id="217" w:name="_Toc340397975"/>
      <w:bookmarkEnd w:id="217"/>
      <w:bookmarkStart w:id="218" w:name="_Toc340397599"/>
      <w:bookmarkEnd w:id="218"/>
      <w:bookmarkStart w:id="219" w:name="_Toc340397585"/>
      <w:bookmarkEnd w:id="219"/>
      <w:bookmarkStart w:id="220" w:name="_Toc340397140"/>
      <w:bookmarkEnd w:id="220"/>
      <w:bookmarkStart w:id="221" w:name="_Toc340397991"/>
      <w:bookmarkEnd w:id="221"/>
      <w:bookmarkStart w:id="222" w:name="_Toc225538153"/>
      <w:bookmarkStart w:id="223" w:name="_Toc219710672"/>
      <w:r>
        <w:rPr>
          <w:rFonts w:eastAsia="楷体_GB2312"/>
          <w:b/>
          <w:color w:val="000000"/>
          <w:sz w:val="24"/>
        </w:rPr>
        <w:t>权利完善通知</w:t>
      </w:r>
      <w:bookmarkEnd w:id="222"/>
      <w:bookmarkEnd w:id="223"/>
    </w:p>
    <w:p w14:paraId="6C67408A">
      <w:pPr>
        <w:numPr>
          <w:ilvl w:val="1"/>
          <w:numId w:val="7"/>
        </w:numPr>
        <w:spacing w:line="360" w:lineRule="auto"/>
        <w:rPr>
          <w:rFonts w:eastAsia="楷体_GB2312"/>
          <w:color w:val="000000"/>
        </w:rPr>
      </w:pPr>
      <w:bookmarkStart w:id="224" w:name="_Ref201483510"/>
      <w:bookmarkStart w:id="225" w:name="_Toc201569388"/>
      <w:r>
        <w:rPr>
          <w:rFonts w:eastAsia="楷体_GB2312"/>
          <w:b/>
          <w:color w:val="000000"/>
          <w:sz w:val="24"/>
        </w:rPr>
        <w:t>委托人发送权利完善通知</w:t>
      </w:r>
      <w:bookmarkEnd w:id="224"/>
      <w:bookmarkEnd w:id="225"/>
    </w:p>
    <w:p w14:paraId="5023D0AA">
      <w:pPr>
        <w:numPr>
          <w:ilvl w:val="2"/>
          <w:numId w:val="7"/>
        </w:numPr>
        <w:spacing w:line="360" w:lineRule="auto"/>
        <w:ind w:left="1701" w:hanging="708"/>
        <w:rPr>
          <w:rFonts w:eastAsia="楷体_GB2312"/>
          <w:color w:val="000000"/>
          <w:sz w:val="24"/>
        </w:rPr>
      </w:pPr>
      <w:bookmarkStart w:id="226" w:name="_Ref340174043"/>
      <w:r>
        <w:rPr>
          <w:rFonts w:eastAsia="楷体_GB2312"/>
          <w:color w:val="000000"/>
          <w:sz w:val="24"/>
        </w:rPr>
        <w:t>发生“权利完善事件”第【(a)】项或第【(b)】项后【】个“工作日”内，“委托人”应以挂号信或特快专递等方式发出如下“权利完善通知”（格式参考本合同</w:t>
      </w:r>
      <w:r>
        <w:rPr>
          <w:rFonts w:eastAsia="楷体_GB2312"/>
          <w:b/>
          <w:i/>
          <w:iCs/>
          <w:color w:val="000000"/>
          <w:sz w:val="24"/>
        </w:rPr>
        <w:t>附件三</w:t>
      </w:r>
      <w:r>
        <w:rPr>
          <w:rFonts w:eastAsia="楷体_GB2312"/>
          <w:color w:val="000000"/>
          <w:sz w:val="24"/>
        </w:rPr>
        <w:t>），并抄送给“受托人”：</w:t>
      </w:r>
      <w:bookmarkEnd w:id="226"/>
    </w:p>
    <w:p w14:paraId="0908DE35">
      <w:pPr>
        <w:numPr>
          <w:ilvl w:val="0"/>
          <w:numId w:val="11"/>
        </w:numPr>
        <w:spacing w:line="360" w:lineRule="auto"/>
        <w:rPr>
          <w:rFonts w:eastAsia="楷体_GB2312"/>
          <w:color w:val="000000"/>
        </w:rPr>
      </w:pPr>
      <w:r>
        <w:rPr>
          <w:rFonts w:eastAsia="楷体_GB2312"/>
          <w:color w:val="000000"/>
          <w:sz w:val="24"/>
        </w:rPr>
        <w:t>将相关“资产池”已设立信托的事实，通知每一笔“资产”的“义务人”；以及</w:t>
      </w:r>
    </w:p>
    <w:p w14:paraId="34413F91">
      <w:pPr>
        <w:numPr>
          <w:ilvl w:val="0"/>
          <w:numId w:val="11"/>
        </w:numPr>
        <w:spacing w:line="360" w:lineRule="auto"/>
        <w:rPr>
          <w:rFonts w:eastAsia="楷体_GB2312"/>
          <w:color w:val="000000"/>
          <w:kern w:val="0"/>
          <w:sz w:val="24"/>
        </w:rPr>
      </w:pPr>
      <w:r>
        <w:rPr>
          <w:rFonts w:eastAsia="楷体_GB2312"/>
          <w:color w:val="000000"/>
          <w:sz w:val="24"/>
        </w:rPr>
        <w:t>告知“义务人”自收到“权利完善通知”之日起，将其应支付的款项支付至“信托账户”。</w:t>
      </w:r>
    </w:p>
    <w:p w14:paraId="46306CE0">
      <w:pPr>
        <w:spacing w:line="360" w:lineRule="auto"/>
        <w:ind w:left="1701"/>
        <w:rPr>
          <w:rFonts w:eastAsia="楷体_GB2312"/>
          <w:b/>
          <w:bCs/>
          <w:i/>
          <w:iCs/>
          <w:color w:val="FF0000"/>
          <w:kern w:val="0"/>
          <w:sz w:val="24"/>
        </w:rPr>
      </w:pPr>
      <w:r>
        <w:rPr>
          <w:rFonts w:eastAsia="楷体_GB2312"/>
          <w:b/>
          <w:bCs/>
          <w:i/>
          <w:iCs/>
          <w:color w:val="FF0000"/>
          <w:kern w:val="0"/>
          <w:sz w:val="24"/>
        </w:rPr>
        <w:t>【注：相关款项支付安排可根据具体项目情况调整。】</w:t>
      </w:r>
    </w:p>
    <w:p w14:paraId="4ACDA6FD">
      <w:pPr>
        <w:numPr>
          <w:ilvl w:val="2"/>
          <w:numId w:val="7"/>
        </w:numPr>
        <w:spacing w:line="360" w:lineRule="auto"/>
        <w:ind w:left="1701" w:hanging="708"/>
        <w:rPr>
          <w:rFonts w:eastAsia="楷体_GB2312"/>
          <w:color w:val="000000"/>
          <w:sz w:val="24"/>
        </w:rPr>
      </w:pPr>
      <w:bookmarkStart w:id="227" w:name="_Ref446013216"/>
      <w:r>
        <w:rPr>
          <w:rFonts w:eastAsia="楷体_GB2312"/>
          <w:color w:val="000000"/>
          <w:sz w:val="24"/>
        </w:rPr>
        <w:t>发生“权利完善事件”之第【(c)】项或第【(d)】项情形后【】个“工作日”内，“委托人”应以挂号信的方式发出如下“权利完善通知”（格式参考本合同</w:t>
      </w:r>
      <w:r>
        <w:rPr>
          <w:rFonts w:eastAsia="楷体_GB2312"/>
          <w:b/>
          <w:i/>
          <w:iCs/>
          <w:color w:val="000000"/>
          <w:sz w:val="24"/>
        </w:rPr>
        <w:t>附件三</w:t>
      </w:r>
      <w:r>
        <w:rPr>
          <w:rFonts w:eastAsia="楷体_GB2312"/>
          <w:color w:val="000000"/>
          <w:sz w:val="24"/>
        </w:rPr>
        <w:t>），并抄送给“受托人”：将相关“资产池”已设立“信托”的事实，通知每一笔“资产”的“义务人”。当“委托人”担任“贷款服务机构时”，发生“权利完善事件”之第【(c)】项或第【(d)】项情形的，则按本合同第</w:t>
      </w:r>
      <w:r>
        <w:rPr>
          <w:rFonts w:eastAsia="楷体_GB2312"/>
          <w:color w:val="000000"/>
          <w:sz w:val="24"/>
        </w:rPr>
        <w:fldChar w:fldCharType="begin"/>
      </w:r>
      <w:r>
        <w:rPr>
          <w:rFonts w:eastAsia="楷体_GB2312"/>
          <w:color w:val="000000"/>
          <w:sz w:val="24"/>
        </w:rPr>
        <w:instrText xml:space="preserve"> REF _Ref340174043 \r \h  \* MERGEFORMAT </w:instrText>
      </w:r>
      <w:r>
        <w:rPr>
          <w:rFonts w:eastAsia="楷体_GB2312"/>
          <w:color w:val="000000"/>
          <w:sz w:val="24"/>
        </w:rPr>
        <w:fldChar w:fldCharType="separate"/>
      </w:r>
      <w:r>
        <w:rPr>
          <w:rFonts w:eastAsia="楷体_GB2312"/>
          <w:color w:val="000000"/>
          <w:sz w:val="24"/>
        </w:rPr>
        <w:t>5.1.1</w:t>
      </w:r>
      <w:r>
        <w:rPr>
          <w:rFonts w:eastAsia="楷体_GB2312"/>
          <w:color w:val="000000"/>
          <w:sz w:val="24"/>
        </w:rPr>
        <w:fldChar w:fldCharType="end"/>
      </w:r>
      <w:r>
        <w:rPr>
          <w:rFonts w:eastAsia="楷体_GB2312"/>
          <w:color w:val="000000"/>
          <w:sz w:val="24"/>
        </w:rPr>
        <w:t>款约定执行。</w:t>
      </w:r>
    </w:p>
    <w:p w14:paraId="4E8C1B0A">
      <w:pPr>
        <w:numPr>
          <w:ilvl w:val="2"/>
          <w:numId w:val="7"/>
        </w:numPr>
        <w:spacing w:line="360" w:lineRule="auto"/>
        <w:ind w:left="1701" w:hanging="708"/>
        <w:rPr>
          <w:rFonts w:eastAsia="楷体_GB2312"/>
          <w:b/>
          <w:bCs/>
          <w:i/>
          <w:iCs/>
          <w:color w:val="FF0000"/>
          <w:sz w:val="24"/>
        </w:rPr>
      </w:pPr>
      <w:r>
        <w:rPr>
          <w:rFonts w:eastAsia="楷体_GB2312"/>
          <w:color w:val="000000"/>
          <w:sz w:val="24"/>
        </w:rPr>
        <w:t>发生“权利完善事件”第【(e)】项</w:t>
      </w:r>
      <w:r>
        <w:rPr>
          <w:rFonts w:eastAsia="楷体_GB2312"/>
          <w:bCs/>
          <w:color w:val="000000"/>
          <w:sz w:val="24"/>
        </w:rPr>
        <w:t>后【】个“工作日”内</w:t>
      </w:r>
      <w:r>
        <w:rPr>
          <w:rFonts w:eastAsia="楷体_GB2312"/>
          <w:color w:val="000000"/>
          <w:sz w:val="24"/>
        </w:rPr>
        <w:t>，“委托人”应根据“贷款服务机构”或“受托人”管理“资产”的需要以挂号信或特快专递等方式仅向“贷款服务机构”实际行使相关权利的“义务人”发出“权利完善通知”将“资产池”已设立信托的事实通知相关“义务人”，并抄送给“受托人”。“权利完善通知”的格式可以参考本合同</w:t>
      </w:r>
      <w:r>
        <w:rPr>
          <w:rFonts w:eastAsia="楷体_GB2312"/>
          <w:b/>
          <w:bCs/>
          <w:i/>
          <w:iCs/>
          <w:color w:val="000000"/>
          <w:sz w:val="24"/>
        </w:rPr>
        <w:t>附件三</w:t>
      </w:r>
      <w:r>
        <w:rPr>
          <w:rFonts w:eastAsia="楷体_GB2312"/>
          <w:b/>
          <w:bCs/>
          <w:i/>
          <w:iCs/>
          <w:color w:val="FF0000"/>
          <w:sz w:val="24"/>
        </w:rPr>
        <w:t>【注：是否同时需要告知“义务人”自收到“权利完善通知”之日起，将其应支付的款项支付至“信托账户”，可根据实际情况进行必要调整并使用对应的权利完善通知。】</w:t>
      </w:r>
      <w:r>
        <w:rPr>
          <w:rFonts w:hint="eastAsia" w:eastAsia="楷体_GB2312"/>
          <w:b/>
          <w:bCs/>
          <w:i/>
          <w:iCs/>
          <w:color w:val="FF0000"/>
          <w:sz w:val="24"/>
        </w:rPr>
        <w:t>。</w:t>
      </w:r>
      <w:bookmarkEnd w:id="227"/>
    </w:p>
    <w:p w14:paraId="6FF63462">
      <w:pPr>
        <w:numPr>
          <w:ilvl w:val="2"/>
          <w:numId w:val="7"/>
        </w:numPr>
        <w:spacing w:line="360" w:lineRule="auto"/>
        <w:ind w:left="1701" w:hanging="708"/>
        <w:rPr>
          <w:rFonts w:eastAsia="楷体_GB2312"/>
          <w:color w:val="000000"/>
          <w:sz w:val="24"/>
        </w:rPr>
      </w:pPr>
      <w:bookmarkStart w:id="228" w:name="_Hlk221107279"/>
      <w:bookmarkStart w:id="229" w:name="_Ref220492325"/>
      <w:r>
        <w:rPr>
          <w:rFonts w:eastAsia="楷体_GB2312"/>
          <w:color w:val="000000"/>
          <w:kern w:val="0"/>
          <w:sz w:val="24"/>
        </w:rPr>
        <w:t>根据相关</w:t>
      </w:r>
      <w:r>
        <w:rPr>
          <w:rFonts w:eastAsia="楷体_GB2312"/>
          <w:bCs/>
          <w:color w:val="000000"/>
          <w:sz w:val="24"/>
        </w:rPr>
        <w:t>“</w:t>
      </w:r>
      <w:r>
        <w:rPr>
          <w:rFonts w:eastAsia="楷体_GB2312"/>
          <w:color w:val="000000"/>
          <w:kern w:val="0"/>
          <w:sz w:val="24"/>
        </w:rPr>
        <w:t>中国”“法律”的规定或“资产”的届时状况和回收需要，“受托人”有权要求“委托人”或由“委托人”自行向相应的“义务人”发送“权利完善通知”，具体方式与内容可按最有利于回收“资产”的原则予以确定</w:t>
      </w:r>
      <w:bookmarkEnd w:id="228"/>
      <w:r>
        <w:rPr>
          <w:rFonts w:eastAsia="楷体_GB2312"/>
          <w:color w:val="000000"/>
          <w:kern w:val="0"/>
          <w:sz w:val="24"/>
        </w:rPr>
        <w:t>。</w:t>
      </w:r>
      <w:bookmarkEnd w:id="229"/>
    </w:p>
    <w:p w14:paraId="53448711">
      <w:pPr>
        <w:spacing w:line="360" w:lineRule="auto"/>
        <w:ind w:left="1701"/>
        <w:rPr>
          <w:rFonts w:eastAsia="楷体_GB2312"/>
          <w:color w:val="000000"/>
        </w:rPr>
      </w:pPr>
      <w:bookmarkStart w:id="230" w:name="_Ref221266459"/>
      <w:r>
        <w:rPr>
          <w:rFonts w:eastAsia="楷体_GB2312"/>
          <w:b/>
          <w:bCs/>
          <w:i/>
          <w:iCs/>
          <w:color w:val="FF0000"/>
          <w:sz w:val="24"/>
        </w:rPr>
        <w:t>【注：</w:t>
      </w:r>
      <w:bookmarkStart w:id="231" w:name="_Hlk221450192"/>
      <w:r>
        <w:rPr>
          <w:rFonts w:eastAsia="楷体_GB2312"/>
          <w:b/>
          <w:bCs/>
          <w:i/>
          <w:iCs/>
          <w:color w:val="FF0000"/>
          <w:sz w:val="24"/>
        </w:rPr>
        <w:t>权利完善事件/个别通知事件市场主体采取的表述方式多样，</w:t>
      </w:r>
      <w:r>
        <w:rPr>
          <w:rFonts w:eastAsia="楷体_GB2312"/>
          <w:b/>
          <w:bCs/>
          <w:i/>
          <w:iCs/>
          <w:color w:val="FF0000"/>
          <w:kern w:val="0"/>
          <w:sz w:val="24"/>
        </w:rPr>
        <w:t>具体权利完善事件以及该等事件发生后的法律后果均可结合项目实际需要而予以调整，注意与相关条款约定相匹配即可</w:t>
      </w:r>
      <w:r>
        <w:rPr>
          <w:rFonts w:eastAsia="楷体_GB2312"/>
          <w:b/>
          <w:bCs/>
          <w:i/>
          <w:iCs/>
          <w:color w:val="FF0000"/>
          <w:sz w:val="24"/>
        </w:rPr>
        <w:t>。</w:t>
      </w:r>
      <w:bookmarkEnd w:id="231"/>
      <w:r>
        <w:rPr>
          <w:rFonts w:eastAsia="楷体_GB2312"/>
          <w:b/>
          <w:bCs/>
          <w:i/>
          <w:iCs/>
          <w:color w:val="FF0000"/>
          <w:sz w:val="24"/>
        </w:rPr>
        <w:t>】</w:t>
      </w:r>
    </w:p>
    <w:bookmarkEnd w:id="230"/>
    <w:p w14:paraId="06FE6D92">
      <w:pPr>
        <w:numPr>
          <w:ilvl w:val="1"/>
          <w:numId w:val="7"/>
        </w:numPr>
        <w:spacing w:line="360" w:lineRule="auto"/>
        <w:rPr>
          <w:rFonts w:eastAsia="楷体_GB2312"/>
          <w:color w:val="000000"/>
        </w:rPr>
      </w:pPr>
      <w:bookmarkStart w:id="232" w:name="_Ref201652377"/>
      <w:bookmarkStart w:id="233" w:name="_Ref340409424"/>
      <w:bookmarkStart w:id="234" w:name="_Toc201569389"/>
      <w:bookmarkStart w:id="235" w:name="_Ref47878094"/>
      <w:bookmarkStart w:id="236" w:name="_Ref204489624"/>
      <w:bookmarkStart w:id="237" w:name="_Ref221266234"/>
      <w:r>
        <w:rPr>
          <w:rFonts w:eastAsia="楷体_GB2312"/>
          <w:b/>
          <w:color w:val="000000"/>
          <w:sz w:val="24"/>
        </w:rPr>
        <w:t>受托人代为发送权利完善通知</w:t>
      </w:r>
      <w:bookmarkEnd w:id="232"/>
      <w:bookmarkEnd w:id="233"/>
      <w:bookmarkEnd w:id="234"/>
      <w:bookmarkEnd w:id="235"/>
      <w:bookmarkEnd w:id="236"/>
      <w:bookmarkEnd w:id="237"/>
    </w:p>
    <w:p w14:paraId="69BE3E12">
      <w:pPr>
        <w:numPr>
          <w:ilvl w:val="2"/>
          <w:numId w:val="7"/>
        </w:numPr>
        <w:spacing w:line="360" w:lineRule="auto"/>
        <w:ind w:left="1701" w:hanging="708"/>
        <w:rPr>
          <w:rFonts w:eastAsia="楷体_GB2312"/>
          <w:color w:val="000000"/>
          <w:sz w:val="24"/>
        </w:rPr>
      </w:pPr>
      <w:r>
        <w:rPr>
          <w:rFonts w:eastAsia="楷体_GB2312"/>
          <w:color w:val="000000"/>
          <w:sz w:val="24"/>
        </w:rPr>
        <w:t>“委托人”应于“信托生效日”或之前向“受托人”出具不可撤销的</w:t>
      </w:r>
      <w:r>
        <w:rPr>
          <w:rFonts w:eastAsia="楷体_GB2312"/>
          <w:snapToGrid w:val="0"/>
          <w:color w:val="000000"/>
          <w:kern w:val="28"/>
          <w:sz w:val="24"/>
          <w:szCs w:val="20"/>
        </w:rPr>
        <w:t>“授权书”</w:t>
      </w:r>
      <w:r>
        <w:rPr>
          <w:rFonts w:eastAsia="楷体_GB2312"/>
          <w:color w:val="000000"/>
          <w:sz w:val="24"/>
        </w:rPr>
        <w:t>（格式见本合同</w:t>
      </w:r>
      <w:r>
        <w:rPr>
          <w:rFonts w:eastAsia="楷体_GB2312"/>
          <w:b/>
          <w:i/>
          <w:iCs/>
          <w:color w:val="000000"/>
          <w:sz w:val="24"/>
        </w:rPr>
        <w:t>附件</w:t>
      </w:r>
      <w:r>
        <w:rPr>
          <w:rFonts w:eastAsia="楷体_GB2312"/>
          <w:b/>
          <w:i/>
          <w:color w:val="000000"/>
          <w:sz w:val="24"/>
        </w:rPr>
        <w:t>四</w:t>
      </w:r>
      <w:r>
        <w:rPr>
          <w:rFonts w:eastAsia="楷体_GB2312"/>
          <w:color w:val="000000"/>
          <w:sz w:val="24"/>
        </w:rPr>
        <w:t>），授权“受托人”以“委托人”的名义，在发生“权利完善事件”或本合同第</w:t>
      </w:r>
      <w:r>
        <w:rPr>
          <w:rFonts w:eastAsia="楷体_GB2312"/>
          <w:color w:val="000000"/>
          <w:sz w:val="24"/>
        </w:rPr>
        <w:fldChar w:fldCharType="begin"/>
      </w:r>
      <w:r>
        <w:rPr>
          <w:rFonts w:eastAsia="楷体_GB2312"/>
          <w:color w:val="000000"/>
          <w:sz w:val="24"/>
        </w:rPr>
        <w:instrText xml:space="preserve"> REF _Ref221266459 \r \h  \* MERGEFORMAT </w:instrText>
      </w:r>
      <w:r>
        <w:rPr>
          <w:rFonts w:eastAsia="楷体_GB2312"/>
          <w:color w:val="000000"/>
          <w:sz w:val="24"/>
        </w:rPr>
        <w:fldChar w:fldCharType="separate"/>
      </w:r>
      <w:r>
        <w:rPr>
          <w:rFonts w:eastAsia="楷体_GB2312"/>
          <w:color w:val="000000"/>
          <w:sz w:val="24"/>
        </w:rPr>
        <w:t>5.1.4</w:t>
      </w:r>
      <w:r>
        <w:rPr>
          <w:rFonts w:eastAsia="楷体_GB2312"/>
          <w:color w:val="000000"/>
          <w:sz w:val="24"/>
        </w:rPr>
        <w:fldChar w:fldCharType="end"/>
      </w:r>
      <w:r>
        <w:rPr>
          <w:rFonts w:eastAsia="楷体_GB2312"/>
          <w:color w:val="000000"/>
          <w:sz w:val="24"/>
        </w:rPr>
        <w:t>款约定的情形且“委托人”不履行发送“权利完善通知”的义务时，代为发送“权利完善通知”。</w:t>
      </w:r>
    </w:p>
    <w:p w14:paraId="4260360B">
      <w:pPr>
        <w:numPr>
          <w:ilvl w:val="2"/>
          <w:numId w:val="7"/>
        </w:numPr>
        <w:spacing w:line="360" w:lineRule="auto"/>
        <w:ind w:left="1701" w:hanging="708"/>
        <w:rPr>
          <w:rFonts w:eastAsia="楷体_GB2312"/>
          <w:color w:val="000000"/>
        </w:rPr>
      </w:pPr>
      <w:bookmarkStart w:id="238" w:name="_Ref339985248"/>
      <w:r>
        <w:rPr>
          <w:rFonts w:eastAsia="楷体_GB2312"/>
          <w:color w:val="000000"/>
          <w:sz w:val="24"/>
        </w:rPr>
        <w:t>如果“委托人”在发生“权利完善事件”或本合同第</w:t>
      </w:r>
      <w:r>
        <w:rPr>
          <w:rFonts w:eastAsia="楷体_GB2312"/>
          <w:color w:val="000000"/>
          <w:sz w:val="24"/>
        </w:rPr>
        <w:fldChar w:fldCharType="begin"/>
      </w:r>
      <w:r>
        <w:rPr>
          <w:rFonts w:eastAsia="楷体_GB2312"/>
          <w:color w:val="000000"/>
          <w:sz w:val="24"/>
        </w:rPr>
        <w:instrText xml:space="preserve"> REF _Ref221266459 \r \h  \* MERGEFORMAT </w:instrText>
      </w:r>
      <w:r>
        <w:rPr>
          <w:rFonts w:eastAsia="楷体_GB2312"/>
          <w:color w:val="000000"/>
          <w:sz w:val="24"/>
        </w:rPr>
        <w:fldChar w:fldCharType="separate"/>
      </w:r>
      <w:r>
        <w:rPr>
          <w:rFonts w:eastAsia="楷体_GB2312"/>
          <w:color w:val="000000"/>
          <w:sz w:val="24"/>
        </w:rPr>
        <w:t>5.1.4</w:t>
      </w:r>
      <w:r>
        <w:rPr>
          <w:rFonts w:eastAsia="楷体_GB2312"/>
          <w:color w:val="000000"/>
          <w:sz w:val="24"/>
        </w:rPr>
        <w:fldChar w:fldCharType="end"/>
      </w:r>
      <w:r>
        <w:rPr>
          <w:rFonts w:eastAsia="楷体_GB2312"/>
          <w:color w:val="000000"/>
          <w:sz w:val="24"/>
        </w:rPr>
        <w:t>款约定的情形后未按照本合同第</w:t>
      </w:r>
      <w:r>
        <w:rPr>
          <w:rFonts w:eastAsia="楷体_GB2312"/>
          <w:color w:val="000000"/>
        </w:rPr>
        <w:fldChar w:fldCharType="begin"/>
      </w:r>
      <w:r>
        <w:rPr>
          <w:rFonts w:eastAsia="楷体_GB2312"/>
          <w:color w:val="000000"/>
        </w:rPr>
        <w:instrText xml:space="preserve"> REF _Ref201483510 \r \h  \* MERGEFORMAT </w:instrText>
      </w:r>
      <w:r>
        <w:rPr>
          <w:rFonts w:eastAsia="楷体_GB2312"/>
          <w:color w:val="000000"/>
        </w:rPr>
        <w:fldChar w:fldCharType="separate"/>
      </w:r>
      <w:r>
        <w:rPr>
          <w:rFonts w:eastAsia="楷体_GB2312"/>
          <w:color w:val="000000"/>
          <w:sz w:val="24"/>
        </w:rPr>
        <w:t>5.1</w:t>
      </w:r>
      <w:r>
        <w:rPr>
          <w:rFonts w:eastAsia="楷体_GB2312"/>
          <w:color w:val="000000"/>
        </w:rPr>
        <w:fldChar w:fldCharType="end"/>
      </w:r>
      <w:r>
        <w:rPr>
          <w:rFonts w:eastAsia="楷体_GB2312"/>
          <w:color w:val="000000"/>
          <w:sz w:val="24"/>
        </w:rPr>
        <w:t>款的约定发送“权利完善通知”，则“受托人”应在“委托人”按照本合同第</w:t>
      </w:r>
      <w:r>
        <w:rPr>
          <w:rFonts w:eastAsia="楷体_GB2312"/>
          <w:color w:val="000000"/>
        </w:rPr>
        <w:fldChar w:fldCharType="begin"/>
      </w:r>
      <w:r>
        <w:rPr>
          <w:rFonts w:eastAsia="楷体_GB2312"/>
          <w:color w:val="000000"/>
        </w:rPr>
        <w:instrText xml:space="preserve"> REF _Ref201483510 \r \h  \* MERGEFORMAT </w:instrText>
      </w:r>
      <w:r>
        <w:rPr>
          <w:rFonts w:eastAsia="楷体_GB2312"/>
          <w:color w:val="000000"/>
        </w:rPr>
        <w:fldChar w:fldCharType="separate"/>
      </w:r>
      <w:r>
        <w:rPr>
          <w:rFonts w:eastAsia="楷体_GB2312"/>
          <w:color w:val="000000"/>
          <w:sz w:val="24"/>
        </w:rPr>
        <w:t>5.1</w:t>
      </w:r>
      <w:r>
        <w:rPr>
          <w:rFonts w:eastAsia="楷体_GB2312"/>
          <w:color w:val="000000"/>
        </w:rPr>
        <w:fldChar w:fldCharType="end"/>
      </w:r>
      <w:r>
        <w:rPr>
          <w:rFonts w:eastAsia="楷体_GB2312"/>
          <w:color w:val="000000"/>
          <w:sz w:val="24"/>
        </w:rPr>
        <w:t>款的约定本应发送“权利完善通知”之日后的【】个“工作日”内，按照本合同第</w:t>
      </w:r>
      <w:r>
        <w:rPr>
          <w:rFonts w:eastAsia="楷体_GB2312"/>
          <w:color w:val="000000"/>
        </w:rPr>
        <w:fldChar w:fldCharType="begin"/>
      </w:r>
      <w:r>
        <w:rPr>
          <w:rFonts w:eastAsia="楷体_GB2312"/>
          <w:color w:val="000000"/>
        </w:rPr>
        <w:instrText xml:space="preserve"> REF _Ref201483510 \r \h  \* MERGEFORMAT </w:instrText>
      </w:r>
      <w:r>
        <w:rPr>
          <w:rFonts w:eastAsia="楷体_GB2312"/>
          <w:color w:val="000000"/>
        </w:rPr>
        <w:fldChar w:fldCharType="separate"/>
      </w:r>
      <w:r>
        <w:rPr>
          <w:rFonts w:eastAsia="楷体_GB2312"/>
          <w:color w:val="000000"/>
          <w:sz w:val="24"/>
        </w:rPr>
        <w:t>5.1</w:t>
      </w:r>
      <w:r>
        <w:rPr>
          <w:rFonts w:eastAsia="楷体_GB2312"/>
          <w:color w:val="000000"/>
        </w:rPr>
        <w:fldChar w:fldCharType="end"/>
      </w:r>
      <w:r>
        <w:rPr>
          <w:rFonts w:eastAsia="楷体_GB2312"/>
          <w:color w:val="000000"/>
          <w:sz w:val="24"/>
        </w:rPr>
        <w:t>款的约定，代表“委托人”发送“权利完善通知”，并抄送给“委托人”。</w:t>
      </w:r>
      <w:bookmarkEnd w:id="238"/>
    </w:p>
    <w:p w14:paraId="0006275B">
      <w:pPr>
        <w:numPr>
          <w:ilvl w:val="1"/>
          <w:numId w:val="7"/>
        </w:numPr>
        <w:spacing w:line="360" w:lineRule="auto"/>
        <w:rPr>
          <w:rFonts w:eastAsia="楷体_GB2312"/>
          <w:color w:val="000000"/>
        </w:rPr>
      </w:pPr>
      <w:bookmarkStart w:id="239" w:name="_Toc201569390"/>
      <w:r>
        <w:rPr>
          <w:rFonts w:eastAsia="楷体_GB2312"/>
          <w:b/>
          <w:color w:val="000000"/>
          <w:sz w:val="24"/>
        </w:rPr>
        <w:t>发送权利完善通知的费用</w:t>
      </w:r>
      <w:bookmarkEnd w:id="239"/>
    </w:p>
    <w:p w14:paraId="07207BFE">
      <w:pPr>
        <w:spacing w:line="360" w:lineRule="auto"/>
        <w:ind w:left="1050" w:leftChars="500"/>
        <w:rPr>
          <w:rFonts w:eastAsia="楷体_GB2312"/>
          <w:color w:val="000000"/>
          <w:sz w:val="24"/>
        </w:rPr>
      </w:pPr>
      <w:r>
        <w:rPr>
          <w:rFonts w:eastAsia="楷体_GB2312"/>
          <w:color w:val="000000"/>
          <w:sz w:val="24"/>
        </w:rPr>
        <w:t>“委托人”按照本合同的约定发送“权利完善通知”所发生的费用应由“委托人”自行承担。“受托人”按照本合同的约定代为发送“权利完善通知”所发生的费用按照本合同第</w:t>
      </w:r>
      <w:r>
        <w:rPr>
          <w:rFonts w:eastAsia="楷体_GB2312"/>
          <w:color w:val="000000"/>
        </w:rPr>
        <w:fldChar w:fldCharType="begin"/>
      </w:r>
      <w:r>
        <w:rPr>
          <w:rFonts w:eastAsia="楷体_GB2312"/>
          <w:color w:val="000000"/>
        </w:rPr>
        <w:instrText xml:space="preserve">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条的约定由“信托财产”垫付，并由“受托人”向“委托人”追偿，偿还款项归入“信托财产”；“信托财产”不足时，“受托人”先以固有财产垫付前述费用的，“受托人”可以按照本合同第</w:t>
      </w:r>
      <w:r>
        <w:rPr>
          <w:rFonts w:eastAsia="楷体_GB2312"/>
          <w:color w:val="000000"/>
        </w:rPr>
        <w:fldChar w:fldCharType="begin"/>
      </w:r>
      <w:r>
        <w:rPr>
          <w:rFonts w:eastAsia="楷体_GB2312"/>
          <w:color w:val="000000"/>
        </w:rPr>
        <w:instrText xml:space="preserve">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条的约定由“信托财产”偿还，并由“受托人”向“委托人”追偿。</w:t>
      </w:r>
    </w:p>
    <w:p w14:paraId="04418004">
      <w:pPr>
        <w:numPr>
          <w:ilvl w:val="1"/>
          <w:numId w:val="7"/>
        </w:numPr>
        <w:spacing w:line="360" w:lineRule="auto"/>
        <w:rPr>
          <w:rFonts w:eastAsia="楷体_GB2312"/>
          <w:color w:val="000000"/>
        </w:rPr>
      </w:pPr>
      <w:bookmarkStart w:id="240" w:name="_Toc201569391"/>
      <w:r>
        <w:rPr>
          <w:rFonts w:eastAsia="楷体_GB2312"/>
          <w:b/>
          <w:color w:val="000000"/>
          <w:sz w:val="24"/>
        </w:rPr>
        <w:t>借款人抵销的处理</w:t>
      </w:r>
      <w:bookmarkEnd w:id="240"/>
    </w:p>
    <w:p w14:paraId="5FD8D82F">
      <w:pPr>
        <w:numPr>
          <w:ilvl w:val="2"/>
          <w:numId w:val="7"/>
        </w:numPr>
        <w:spacing w:line="360" w:lineRule="auto"/>
        <w:ind w:left="1701" w:hanging="708"/>
        <w:rPr>
          <w:rFonts w:eastAsia="楷体_GB2312"/>
          <w:color w:val="000000"/>
          <w:sz w:val="24"/>
        </w:rPr>
      </w:pPr>
      <w:bookmarkStart w:id="241" w:name="_Ref519448905"/>
      <w:r>
        <w:rPr>
          <w:rFonts w:eastAsia="楷体_GB2312"/>
          <w:color w:val="000000"/>
          <w:sz w:val="24"/>
        </w:rPr>
        <w:t>如果“借款人”依据</w:t>
      </w:r>
      <w:r>
        <w:rPr>
          <w:rFonts w:eastAsia="楷体_GB2312"/>
          <w:bCs/>
          <w:color w:val="000000"/>
          <w:sz w:val="24"/>
        </w:rPr>
        <w:t>“</w:t>
      </w:r>
      <w:r>
        <w:rPr>
          <w:rFonts w:eastAsia="楷体_GB2312"/>
          <w:color w:val="000000"/>
          <w:sz w:val="24"/>
        </w:rPr>
        <w:t>中国”“法律”行使抵销权且被抵销债权属于“委托人”已交付设立“信托”的“信托财产”，则“委托人”应及时将相当于被抵销款项的资金全额支付给“贷款服务机构”（如“贷款服务机构”被解任的，应交付给“受托人”），作为“借款人”偿还的相应数额的还款，并同时通知“受托人”。</w:t>
      </w:r>
      <w:bookmarkEnd w:id="241"/>
    </w:p>
    <w:p w14:paraId="1CEA7CB4">
      <w:pPr>
        <w:numPr>
          <w:ilvl w:val="2"/>
          <w:numId w:val="7"/>
        </w:numPr>
        <w:spacing w:line="360" w:lineRule="auto"/>
        <w:ind w:left="1701" w:hanging="708"/>
        <w:rPr>
          <w:rFonts w:eastAsia="楷体_GB2312"/>
          <w:color w:val="000000"/>
        </w:rPr>
      </w:pPr>
      <w:r>
        <w:rPr>
          <w:rFonts w:eastAsia="楷体_GB2312"/>
          <w:color w:val="000000"/>
          <w:sz w:val="24"/>
        </w:rPr>
        <w:t>如果“委托人”对“借款人”有多笔债权，且“借款人”依据</w:t>
      </w:r>
      <w:r>
        <w:rPr>
          <w:rFonts w:eastAsia="楷体_GB2312"/>
          <w:bCs/>
          <w:color w:val="000000"/>
          <w:sz w:val="24"/>
        </w:rPr>
        <w:t>“</w:t>
      </w:r>
      <w:r>
        <w:rPr>
          <w:rFonts w:eastAsia="楷体_GB2312"/>
          <w:color w:val="000000"/>
          <w:sz w:val="24"/>
        </w:rPr>
        <w:t>中国”“法律”行使抵销权，“借款人”未声明其具体抵销债权的，则“委托人”应与“借款人”确认被抵销债权是否属于“信托财产”并向“受托人”提供相关证明。如果被抵销债权属于“委托人”已交付设立“信托”的“信托财产”，则“委托人”应按照前款约定履行义务。如无法判断被抵销债权是否属于“信托财产”，则</w:t>
      </w:r>
      <w:r>
        <w:rPr>
          <w:rFonts w:eastAsia="楷体_GB2312"/>
          <w:bCs/>
          <w:snapToGrid w:val="0"/>
          <w:color w:val="000000"/>
          <w:kern w:val="28"/>
          <w:sz w:val="24"/>
          <w:szCs w:val="20"/>
        </w:rPr>
        <w:t>“委托人”和“受托人”同意按照实际抵销债权之日“委托人”和“受托人”（代表“信托”）对</w:t>
      </w:r>
      <w:r>
        <w:rPr>
          <w:rFonts w:eastAsia="楷体_GB2312"/>
          <w:color w:val="000000"/>
          <w:sz w:val="24"/>
        </w:rPr>
        <w:t>“借款人”</w:t>
      </w:r>
      <w:r>
        <w:rPr>
          <w:rFonts w:eastAsia="楷体_GB2312"/>
          <w:bCs/>
          <w:snapToGrid w:val="0"/>
          <w:color w:val="000000"/>
          <w:kern w:val="28"/>
          <w:sz w:val="24"/>
          <w:szCs w:val="20"/>
        </w:rPr>
        <w:t>的未偿债权金额的比例在“委托人”和“受托人”（代表“信托”）之间分配</w:t>
      </w:r>
      <w:r>
        <w:rPr>
          <w:rFonts w:eastAsia="楷体_GB2312"/>
          <w:color w:val="000000"/>
          <w:sz w:val="24"/>
        </w:rPr>
        <w:t>。</w:t>
      </w:r>
    </w:p>
    <w:p w14:paraId="6ABECFCB">
      <w:pPr>
        <w:numPr>
          <w:ilvl w:val="1"/>
          <w:numId w:val="7"/>
        </w:numPr>
        <w:spacing w:line="360" w:lineRule="auto"/>
        <w:rPr>
          <w:rFonts w:eastAsia="楷体_GB2312"/>
          <w:b/>
          <w:color w:val="000000"/>
          <w:sz w:val="24"/>
        </w:rPr>
      </w:pPr>
      <w:r>
        <w:rPr>
          <w:rFonts w:eastAsia="楷体_GB2312"/>
          <w:b/>
          <w:color w:val="000000"/>
          <w:sz w:val="24"/>
        </w:rPr>
        <w:t>抵销风险持续监控</w:t>
      </w:r>
    </w:p>
    <w:p w14:paraId="353686BF">
      <w:pPr>
        <w:tabs>
          <w:tab w:val="left" w:pos="839"/>
        </w:tabs>
        <w:spacing w:line="360" w:lineRule="auto"/>
        <w:ind w:left="283" w:leftChars="135"/>
        <w:rPr>
          <w:rFonts w:eastAsia="楷体_GB2312"/>
          <w:b/>
          <w:bCs/>
          <w:i/>
          <w:iCs/>
          <w:color w:val="FF0000"/>
          <w:sz w:val="24"/>
        </w:rPr>
      </w:pPr>
      <w:r>
        <w:rPr>
          <w:rFonts w:eastAsia="楷体_GB2312"/>
          <w:b/>
          <w:bCs/>
          <w:i/>
          <w:iCs/>
          <w:color w:val="000000"/>
          <w:sz w:val="24"/>
        </w:rPr>
        <w:tab/>
      </w:r>
      <w:r>
        <w:rPr>
          <w:rFonts w:eastAsia="楷体_GB2312"/>
          <w:b/>
          <w:bCs/>
          <w:i/>
          <w:iCs/>
          <w:color w:val="FF0000"/>
          <w:sz w:val="24"/>
        </w:rPr>
        <w:t>【注：如某期项目无需持续监控抵销风险，则删除本款。】</w:t>
      </w:r>
    </w:p>
    <w:p w14:paraId="07DC2BBA">
      <w:pPr>
        <w:spacing w:line="360" w:lineRule="auto"/>
        <w:ind w:left="958" w:leftChars="456"/>
        <w:rPr>
          <w:rFonts w:eastAsia="楷体_GB2312"/>
          <w:color w:val="000000"/>
          <w:sz w:val="24"/>
        </w:rPr>
      </w:pPr>
      <w:r>
        <w:rPr>
          <w:rFonts w:eastAsia="楷体_GB2312"/>
          <w:color w:val="000000"/>
          <w:sz w:val="24"/>
        </w:rPr>
        <w:t>自发生“权利完善事件”第【(c)】项或第【(d)】项之日起，“委托人”应对“借款人”在“委托人”处的存款（包括但不限于活期存款、定期存款等）数额进行持续统计和记录，并应于每个“处置收入转付日”之前将该等统计和记录结果提供给“受托人”和“评级机构”。</w:t>
      </w:r>
    </w:p>
    <w:p w14:paraId="248625FC">
      <w:pPr>
        <w:numPr>
          <w:ilvl w:val="0"/>
          <w:numId w:val="7"/>
        </w:numPr>
        <w:spacing w:line="360" w:lineRule="auto"/>
        <w:outlineLvl w:val="0"/>
        <w:rPr>
          <w:rFonts w:eastAsia="楷体_GB2312"/>
          <w:color w:val="000000"/>
          <w:sz w:val="24"/>
        </w:rPr>
      </w:pPr>
      <w:bookmarkStart w:id="242" w:name="_DV_M451"/>
      <w:bookmarkEnd w:id="242"/>
      <w:bookmarkStart w:id="243" w:name="_DV_M449"/>
      <w:bookmarkEnd w:id="243"/>
      <w:bookmarkStart w:id="244" w:name="_Toc148440784"/>
      <w:bookmarkEnd w:id="244"/>
      <w:bookmarkStart w:id="245" w:name="_Toc148440782"/>
      <w:bookmarkEnd w:id="245"/>
      <w:bookmarkStart w:id="246" w:name="_Toc148384201"/>
      <w:bookmarkEnd w:id="246"/>
      <w:bookmarkStart w:id="247" w:name="_Toc146989568"/>
      <w:bookmarkEnd w:id="247"/>
      <w:bookmarkStart w:id="248" w:name="_Toc148440790"/>
      <w:bookmarkEnd w:id="248"/>
      <w:bookmarkStart w:id="249" w:name="_Toc148384196"/>
      <w:bookmarkEnd w:id="249"/>
      <w:bookmarkStart w:id="250" w:name="_Toc148384193"/>
      <w:bookmarkEnd w:id="250"/>
      <w:bookmarkStart w:id="251" w:name="_Toc148440792"/>
      <w:bookmarkEnd w:id="251"/>
      <w:bookmarkStart w:id="252" w:name="_DV_M450"/>
      <w:bookmarkEnd w:id="252"/>
      <w:bookmarkStart w:id="253" w:name="_Toc148440795"/>
      <w:bookmarkEnd w:id="253"/>
      <w:bookmarkStart w:id="254" w:name="_Toc146349244"/>
      <w:bookmarkEnd w:id="254"/>
      <w:bookmarkStart w:id="255" w:name="_DV_M427"/>
      <w:bookmarkEnd w:id="255"/>
      <w:bookmarkStart w:id="256" w:name="_DV_M416"/>
      <w:bookmarkEnd w:id="256"/>
      <w:bookmarkStart w:id="257" w:name="_Toc148384190"/>
      <w:bookmarkEnd w:id="257"/>
      <w:bookmarkStart w:id="258" w:name="_DV_M411"/>
      <w:bookmarkEnd w:id="258"/>
      <w:bookmarkStart w:id="259" w:name="_DV_M404"/>
      <w:bookmarkEnd w:id="259"/>
      <w:bookmarkStart w:id="260" w:name="_DV_M408"/>
      <w:bookmarkEnd w:id="260"/>
      <w:bookmarkStart w:id="261" w:name="_DV_M437"/>
      <w:bookmarkEnd w:id="261"/>
      <w:bookmarkStart w:id="262" w:name="_DV_M432"/>
      <w:bookmarkEnd w:id="262"/>
      <w:bookmarkStart w:id="263" w:name="_Toc146989567"/>
      <w:bookmarkEnd w:id="263"/>
      <w:bookmarkStart w:id="264" w:name="_Toc148384197"/>
      <w:bookmarkEnd w:id="264"/>
      <w:bookmarkStart w:id="265" w:name="_Toc146349245"/>
      <w:bookmarkEnd w:id="265"/>
      <w:bookmarkStart w:id="266" w:name="_DV_M420"/>
      <w:bookmarkEnd w:id="266"/>
      <w:bookmarkStart w:id="267" w:name="_DV_M418"/>
      <w:bookmarkEnd w:id="267"/>
      <w:bookmarkStart w:id="268" w:name="_Toc148440788"/>
      <w:bookmarkEnd w:id="268"/>
      <w:bookmarkStart w:id="269" w:name="_DV_M430"/>
      <w:bookmarkEnd w:id="269"/>
      <w:bookmarkStart w:id="270" w:name="_Toc148384203"/>
      <w:bookmarkEnd w:id="270"/>
      <w:bookmarkStart w:id="271" w:name="_Toc148440785"/>
      <w:bookmarkEnd w:id="271"/>
      <w:bookmarkStart w:id="272" w:name="_DV_M412"/>
      <w:bookmarkEnd w:id="272"/>
      <w:bookmarkStart w:id="273" w:name="_DV_M454"/>
      <w:bookmarkEnd w:id="273"/>
      <w:bookmarkStart w:id="274" w:name="_DV_M436"/>
      <w:bookmarkEnd w:id="274"/>
      <w:bookmarkStart w:id="275" w:name="_DV_M423"/>
      <w:bookmarkEnd w:id="275"/>
      <w:bookmarkStart w:id="276" w:name="_DV_M419"/>
      <w:bookmarkEnd w:id="276"/>
      <w:bookmarkStart w:id="277" w:name="_DV_M407"/>
      <w:bookmarkEnd w:id="277"/>
      <w:bookmarkStart w:id="278" w:name="_DV_M414"/>
      <w:bookmarkEnd w:id="278"/>
      <w:bookmarkStart w:id="279" w:name="_Toc148384194"/>
      <w:bookmarkEnd w:id="279"/>
      <w:bookmarkStart w:id="280" w:name="_Toc148384198"/>
      <w:bookmarkEnd w:id="280"/>
      <w:bookmarkStart w:id="281" w:name="_DV_M422"/>
      <w:bookmarkEnd w:id="281"/>
      <w:bookmarkStart w:id="282" w:name="_DV_M453"/>
      <w:bookmarkEnd w:id="282"/>
      <w:bookmarkStart w:id="283" w:name="_DV_M431"/>
      <w:bookmarkEnd w:id="283"/>
      <w:bookmarkStart w:id="284" w:name="_Toc148440793"/>
      <w:bookmarkEnd w:id="284"/>
      <w:bookmarkStart w:id="285" w:name="_Toc148384187"/>
      <w:bookmarkEnd w:id="285"/>
      <w:bookmarkStart w:id="286" w:name="_Toc219654260"/>
      <w:bookmarkEnd w:id="286"/>
      <w:bookmarkStart w:id="287" w:name="_Toc148384204"/>
      <w:bookmarkEnd w:id="287"/>
      <w:bookmarkStart w:id="288" w:name="_DV_M406"/>
      <w:bookmarkEnd w:id="288"/>
      <w:bookmarkStart w:id="289" w:name="_DV_M417"/>
      <w:bookmarkEnd w:id="289"/>
      <w:bookmarkStart w:id="290" w:name="_DV_M455"/>
      <w:bookmarkEnd w:id="290"/>
      <w:bookmarkStart w:id="291" w:name="_DV_M425"/>
      <w:bookmarkEnd w:id="291"/>
      <w:bookmarkStart w:id="292" w:name="_Toc219654331"/>
      <w:bookmarkEnd w:id="292"/>
      <w:bookmarkStart w:id="293" w:name="_DV_M429"/>
      <w:bookmarkEnd w:id="293"/>
      <w:bookmarkStart w:id="294" w:name="_DV_M426"/>
      <w:bookmarkEnd w:id="294"/>
      <w:bookmarkStart w:id="295" w:name="_DV_M428"/>
      <w:bookmarkEnd w:id="295"/>
      <w:bookmarkStart w:id="296" w:name="_Toc148440777"/>
      <w:bookmarkEnd w:id="296"/>
      <w:bookmarkStart w:id="297" w:name="_DV_M415"/>
      <w:bookmarkEnd w:id="297"/>
      <w:bookmarkStart w:id="298" w:name="_Toc148384202"/>
      <w:bookmarkEnd w:id="298"/>
      <w:bookmarkStart w:id="299" w:name="_Toc148440786"/>
      <w:bookmarkEnd w:id="299"/>
      <w:bookmarkStart w:id="300" w:name="_Toc148440794"/>
      <w:bookmarkEnd w:id="300"/>
      <w:bookmarkStart w:id="301" w:name="_Toc148384191"/>
      <w:bookmarkEnd w:id="301"/>
      <w:bookmarkStart w:id="302" w:name="_Toc204497522"/>
      <w:bookmarkEnd w:id="302"/>
      <w:bookmarkStart w:id="303" w:name="_Toc148384192"/>
      <w:bookmarkEnd w:id="303"/>
      <w:bookmarkStart w:id="304" w:name="_Toc148440781"/>
      <w:bookmarkEnd w:id="304"/>
      <w:bookmarkStart w:id="305" w:name="_Toc148384200"/>
      <w:bookmarkEnd w:id="305"/>
      <w:bookmarkStart w:id="306" w:name="_Toc148440779"/>
      <w:bookmarkEnd w:id="306"/>
      <w:bookmarkStart w:id="307" w:name="_Toc148440783"/>
      <w:bookmarkEnd w:id="307"/>
      <w:bookmarkStart w:id="308" w:name="_Toc148384205"/>
      <w:bookmarkEnd w:id="308"/>
      <w:bookmarkStart w:id="309" w:name="_DV_M410"/>
      <w:bookmarkEnd w:id="309"/>
      <w:bookmarkStart w:id="310" w:name="_DV_M452"/>
      <w:bookmarkEnd w:id="310"/>
      <w:bookmarkStart w:id="311" w:name="_DV_M409"/>
      <w:bookmarkEnd w:id="311"/>
      <w:bookmarkStart w:id="312" w:name="_Toc148384195"/>
      <w:bookmarkEnd w:id="312"/>
      <w:bookmarkStart w:id="313" w:name="_DV_M421"/>
      <w:bookmarkEnd w:id="313"/>
      <w:bookmarkStart w:id="314" w:name="_Toc148384189"/>
      <w:bookmarkEnd w:id="314"/>
      <w:bookmarkStart w:id="315" w:name="_DV_M424"/>
      <w:bookmarkEnd w:id="315"/>
      <w:bookmarkStart w:id="316" w:name="_Toc148440791"/>
      <w:bookmarkEnd w:id="316"/>
      <w:bookmarkStart w:id="317" w:name="_Toc146989572"/>
      <w:bookmarkEnd w:id="317"/>
      <w:bookmarkStart w:id="318" w:name="_DV_M405"/>
      <w:bookmarkEnd w:id="318"/>
      <w:bookmarkStart w:id="319" w:name="_DV_M413"/>
      <w:bookmarkEnd w:id="319"/>
      <w:bookmarkStart w:id="320" w:name="_Toc148440780"/>
      <w:bookmarkEnd w:id="320"/>
      <w:bookmarkStart w:id="321" w:name="_Toc148440787"/>
      <w:bookmarkEnd w:id="321"/>
      <w:bookmarkStart w:id="322" w:name="_Toc225538154"/>
      <w:bookmarkStart w:id="323" w:name="_Toc219710673"/>
      <w:bookmarkStart w:id="324" w:name="_Toc110153436"/>
      <w:bookmarkStart w:id="325" w:name="_Toc111281786"/>
      <w:bookmarkStart w:id="326" w:name="_Toc201569405"/>
      <w:r>
        <w:rPr>
          <w:rFonts w:eastAsia="楷体_GB2312"/>
          <w:b/>
          <w:color w:val="000000"/>
          <w:sz w:val="24"/>
        </w:rPr>
        <w:t>委托人的权利和义务、陈述和保证</w:t>
      </w:r>
      <w:bookmarkEnd w:id="322"/>
      <w:bookmarkEnd w:id="323"/>
    </w:p>
    <w:p w14:paraId="496BFCDA">
      <w:pPr>
        <w:tabs>
          <w:tab w:val="left" w:pos="839"/>
        </w:tabs>
        <w:spacing w:line="360" w:lineRule="auto"/>
        <w:ind w:left="424" w:leftChars="202"/>
        <w:rPr>
          <w:rFonts w:eastAsia="楷体_GB2312"/>
          <w:b/>
          <w:bCs/>
          <w:i/>
          <w:iCs/>
          <w:color w:val="FF0000"/>
          <w:sz w:val="24"/>
        </w:rPr>
      </w:pPr>
      <w:r>
        <w:rPr>
          <w:rFonts w:eastAsia="楷体_GB2312"/>
          <w:b/>
          <w:bCs/>
          <w:i/>
          <w:iCs/>
          <w:color w:val="FF0000"/>
          <w:sz w:val="24"/>
        </w:rPr>
        <w:t>【注：委托人的权利、义务条款可根据项目具体情况进行补充或调整。】</w:t>
      </w:r>
    </w:p>
    <w:p w14:paraId="4ED01BE6">
      <w:pPr>
        <w:numPr>
          <w:ilvl w:val="1"/>
          <w:numId w:val="7"/>
        </w:numPr>
        <w:spacing w:line="360" w:lineRule="auto"/>
        <w:rPr>
          <w:rFonts w:eastAsia="楷体_GB2312"/>
          <w:b/>
          <w:color w:val="000000"/>
          <w:sz w:val="24"/>
        </w:rPr>
      </w:pPr>
      <w:r>
        <w:rPr>
          <w:rFonts w:eastAsia="楷体_GB2312"/>
          <w:b/>
          <w:color w:val="000000"/>
          <w:sz w:val="24"/>
        </w:rPr>
        <w:t>委托人的权利</w:t>
      </w:r>
    </w:p>
    <w:p w14:paraId="20CB2531">
      <w:pPr>
        <w:spacing w:line="360" w:lineRule="auto"/>
        <w:ind w:left="992"/>
        <w:rPr>
          <w:rFonts w:eastAsia="楷体_GB2312"/>
          <w:b/>
          <w:color w:val="000000"/>
          <w:sz w:val="24"/>
        </w:rPr>
      </w:pPr>
      <w:r>
        <w:rPr>
          <w:rFonts w:eastAsia="楷体_GB2312"/>
          <w:color w:val="000000"/>
          <w:sz w:val="24"/>
        </w:rPr>
        <w:t>“委托人”享有如下权利：</w:t>
      </w:r>
    </w:p>
    <w:p w14:paraId="2C5E8C17">
      <w:pPr>
        <w:numPr>
          <w:ilvl w:val="0"/>
          <w:numId w:val="12"/>
        </w:numPr>
        <w:spacing w:line="360" w:lineRule="auto"/>
        <w:rPr>
          <w:rFonts w:eastAsia="楷体_GB2312"/>
          <w:color w:val="000000"/>
          <w:sz w:val="24"/>
        </w:rPr>
      </w:pPr>
      <w:r>
        <w:rPr>
          <w:rFonts w:eastAsia="楷体_GB2312"/>
          <w:color w:val="000000"/>
          <w:sz w:val="24"/>
        </w:rPr>
        <w:t>有权获得“资产支持证券募集资金”。</w:t>
      </w:r>
    </w:p>
    <w:p w14:paraId="4231062D">
      <w:pPr>
        <w:numPr>
          <w:ilvl w:val="0"/>
          <w:numId w:val="12"/>
        </w:numPr>
        <w:spacing w:line="360" w:lineRule="auto"/>
        <w:rPr>
          <w:rFonts w:eastAsia="楷体_GB2312"/>
          <w:color w:val="000000"/>
          <w:sz w:val="24"/>
        </w:rPr>
      </w:pPr>
      <w:r>
        <w:rPr>
          <w:rFonts w:eastAsia="楷体_GB2312"/>
          <w:color w:val="000000"/>
          <w:sz w:val="24"/>
        </w:rPr>
        <w:t>可以向“受托人”了解“信托财产”的管理、处分、风险及收支情况，并可以要求“受托人”及时做出相应说明及提供关于“信托财产”的信息资料。</w:t>
      </w:r>
    </w:p>
    <w:p w14:paraId="6DC6D28C">
      <w:pPr>
        <w:numPr>
          <w:ilvl w:val="0"/>
          <w:numId w:val="12"/>
        </w:numPr>
        <w:spacing w:line="360" w:lineRule="auto"/>
        <w:rPr>
          <w:rFonts w:eastAsia="楷体_GB2312"/>
          <w:color w:val="000000"/>
          <w:sz w:val="24"/>
        </w:rPr>
      </w:pPr>
      <w:r>
        <w:rPr>
          <w:rFonts w:eastAsia="楷体_GB2312"/>
          <w:color w:val="000000"/>
          <w:sz w:val="24"/>
        </w:rPr>
        <w:t>可以查阅、抄录或者复制与“信托财产”有关的信托账目以及处理信托事务的其他文件。</w:t>
      </w:r>
    </w:p>
    <w:p w14:paraId="7F883BC4">
      <w:pPr>
        <w:numPr>
          <w:ilvl w:val="0"/>
          <w:numId w:val="12"/>
        </w:numPr>
        <w:spacing w:line="360" w:lineRule="auto"/>
        <w:rPr>
          <w:rFonts w:eastAsia="楷体_GB2312"/>
          <w:color w:val="000000"/>
          <w:sz w:val="24"/>
        </w:rPr>
      </w:pPr>
      <w:r>
        <w:rPr>
          <w:rFonts w:eastAsia="楷体_GB2312"/>
          <w:color w:val="000000"/>
          <w:sz w:val="24"/>
        </w:rPr>
        <w:t>“中国”“法律”规定的和本合同约定的其他权利。</w:t>
      </w:r>
    </w:p>
    <w:p w14:paraId="2869D899">
      <w:pPr>
        <w:numPr>
          <w:ilvl w:val="1"/>
          <w:numId w:val="7"/>
        </w:numPr>
        <w:spacing w:line="360" w:lineRule="auto"/>
        <w:rPr>
          <w:rFonts w:eastAsia="楷体_GB2312"/>
          <w:color w:val="000000"/>
          <w:sz w:val="24"/>
        </w:rPr>
      </w:pPr>
      <w:r>
        <w:rPr>
          <w:rFonts w:eastAsia="楷体_GB2312"/>
          <w:b/>
          <w:color w:val="000000"/>
          <w:sz w:val="24"/>
        </w:rPr>
        <w:t>委托人的义务</w:t>
      </w:r>
    </w:p>
    <w:p w14:paraId="7FA72BF0">
      <w:pPr>
        <w:spacing w:line="360" w:lineRule="auto"/>
        <w:ind w:left="992"/>
        <w:rPr>
          <w:rFonts w:eastAsia="楷体_GB2312"/>
          <w:color w:val="000000"/>
          <w:sz w:val="24"/>
        </w:rPr>
      </w:pPr>
      <w:r>
        <w:rPr>
          <w:rFonts w:eastAsia="楷体_GB2312"/>
          <w:color w:val="000000"/>
          <w:sz w:val="24"/>
        </w:rPr>
        <w:t>“委托人”负有如下义务：</w:t>
      </w:r>
    </w:p>
    <w:p w14:paraId="4B4D8588">
      <w:pPr>
        <w:numPr>
          <w:ilvl w:val="0"/>
          <w:numId w:val="13"/>
        </w:numPr>
        <w:spacing w:line="360" w:lineRule="auto"/>
        <w:rPr>
          <w:rFonts w:eastAsia="楷体_GB2312"/>
          <w:color w:val="000000"/>
          <w:sz w:val="24"/>
        </w:rPr>
      </w:pPr>
      <w:r>
        <w:rPr>
          <w:rFonts w:eastAsia="楷体_GB2312"/>
          <w:color w:val="000000"/>
          <w:sz w:val="24"/>
        </w:rPr>
        <w:t>“委托人”应对“</w:t>
      </w:r>
      <w:bookmarkStart w:id="327" w:name="_DV_M347"/>
      <w:bookmarkEnd w:id="327"/>
      <w:r>
        <w:rPr>
          <w:rFonts w:eastAsia="楷体_GB2312"/>
          <w:color w:val="000000"/>
          <w:sz w:val="24"/>
        </w:rPr>
        <w:t>法律</w:t>
      </w:r>
      <w:bookmarkStart w:id="328" w:name="_DV_C396"/>
      <w:r>
        <w:rPr>
          <w:rFonts w:eastAsia="楷体_GB2312"/>
          <w:color w:val="000000"/>
          <w:sz w:val="24"/>
        </w:rPr>
        <w:t>顾问”</w:t>
      </w:r>
      <w:bookmarkEnd w:id="328"/>
      <w:r>
        <w:rPr>
          <w:rFonts w:eastAsia="楷体_GB2312"/>
          <w:color w:val="000000"/>
          <w:sz w:val="24"/>
        </w:rPr>
        <w:t>、</w:t>
      </w:r>
      <w:bookmarkStart w:id="329" w:name="_DV_C397"/>
      <w:r>
        <w:rPr>
          <w:rFonts w:eastAsia="楷体_GB2312"/>
          <w:color w:val="000000"/>
          <w:sz w:val="24"/>
        </w:rPr>
        <w:t>“</w:t>
      </w:r>
      <w:bookmarkEnd w:id="329"/>
      <w:bookmarkStart w:id="330" w:name="_DV_M349"/>
      <w:bookmarkEnd w:id="330"/>
      <w:r>
        <w:rPr>
          <w:rFonts w:eastAsia="楷体_GB2312"/>
          <w:color w:val="000000"/>
          <w:sz w:val="24"/>
        </w:rPr>
        <w:t>会计</w:t>
      </w:r>
      <w:bookmarkStart w:id="331" w:name="_DV_C398"/>
      <w:r>
        <w:rPr>
          <w:rFonts w:eastAsia="楷体_GB2312"/>
          <w:color w:val="000000"/>
          <w:sz w:val="24"/>
        </w:rPr>
        <w:t>顾问/税务顾问”</w:t>
      </w:r>
      <w:bookmarkEnd w:id="331"/>
      <w:bookmarkStart w:id="332" w:name="_DV_M350"/>
      <w:bookmarkEnd w:id="332"/>
      <w:r>
        <w:rPr>
          <w:rFonts w:eastAsia="楷体_GB2312"/>
          <w:color w:val="000000"/>
          <w:sz w:val="24"/>
        </w:rPr>
        <w:t>、</w:t>
      </w:r>
      <w:bookmarkStart w:id="333" w:name="_DV_C399"/>
      <w:r>
        <w:rPr>
          <w:rFonts w:eastAsia="楷体_GB2312"/>
          <w:color w:val="000000"/>
          <w:sz w:val="24"/>
        </w:rPr>
        <w:t>“</w:t>
      </w:r>
      <w:bookmarkEnd w:id="333"/>
      <w:bookmarkStart w:id="334" w:name="_DV_M351"/>
      <w:bookmarkEnd w:id="334"/>
      <w:r>
        <w:rPr>
          <w:rFonts w:eastAsia="楷体_GB2312"/>
          <w:color w:val="000000"/>
          <w:sz w:val="24"/>
        </w:rPr>
        <w:t>评级</w:t>
      </w:r>
      <w:bookmarkStart w:id="335" w:name="_DV_C400"/>
      <w:r>
        <w:rPr>
          <w:rFonts w:eastAsia="楷体_GB2312"/>
          <w:color w:val="000000"/>
          <w:sz w:val="24"/>
        </w:rPr>
        <w:t>机构”</w:t>
      </w:r>
      <w:bookmarkEnd w:id="335"/>
      <w:r>
        <w:rPr>
          <w:rFonts w:eastAsia="楷体_GB2312"/>
          <w:color w:val="000000"/>
          <w:sz w:val="24"/>
        </w:rPr>
        <w:t>、“评估机构”（如有）等中介服务机构对“资产池”进行尽职调查和出具尽职调查报告和/或意见书的审核工作给予必要的配合，包括但不限于尽量提供前述中介服务机构进行工作所需的资料。</w:t>
      </w:r>
    </w:p>
    <w:p w14:paraId="7808893F">
      <w:pPr>
        <w:numPr>
          <w:ilvl w:val="0"/>
          <w:numId w:val="13"/>
        </w:numPr>
        <w:spacing w:line="360" w:lineRule="auto"/>
        <w:rPr>
          <w:rFonts w:eastAsia="楷体_GB2312"/>
          <w:color w:val="000000"/>
          <w:sz w:val="24"/>
        </w:rPr>
      </w:pPr>
      <w:r>
        <w:rPr>
          <w:rFonts w:eastAsia="楷体_GB2312"/>
          <w:color w:val="000000"/>
          <w:sz w:val="24"/>
        </w:rPr>
        <w:t>“委托人”同意“受托人”按本合同约定的方式管理、运用、处分“信托财产”。</w:t>
      </w:r>
    </w:p>
    <w:p w14:paraId="7A8623BA">
      <w:pPr>
        <w:numPr>
          <w:ilvl w:val="0"/>
          <w:numId w:val="13"/>
        </w:numPr>
        <w:spacing w:line="360" w:lineRule="auto"/>
        <w:rPr>
          <w:rFonts w:eastAsia="楷体_GB2312"/>
          <w:color w:val="000000"/>
          <w:sz w:val="24"/>
        </w:rPr>
      </w:pPr>
      <w:r>
        <w:rPr>
          <w:rFonts w:eastAsia="楷体_GB2312"/>
          <w:color w:val="000000"/>
          <w:sz w:val="24"/>
        </w:rPr>
        <w:t>“委托人”应按照本合同的约定“赎回”“不合格资产”。</w:t>
      </w:r>
    </w:p>
    <w:p w14:paraId="0715A1DE">
      <w:pPr>
        <w:numPr>
          <w:ilvl w:val="0"/>
          <w:numId w:val="13"/>
        </w:numPr>
        <w:spacing w:line="360" w:lineRule="auto"/>
        <w:rPr>
          <w:rFonts w:eastAsia="楷体_GB2312"/>
          <w:color w:val="000000"/>
          <w:sz w:val="24"/>
        </w:rPr>
      </w:pPr>
      <w:r>
        <w:rPr>
          <w:rFonts w:eastAsia="楷体_GB2312"/>
          <w:color w:val="000000"/>
          <w:sz w:val="24"/>
        </w:rPr>
        <w:t>“委托人”有义务根据本合同的约定就“资产池”已经设立为“信托财产”的相关事宜通知相关“义务人”；如“资产池”涉及“附属权益”（如有）或“</w:t>
      </w:r>
      <w:r>
        <w:rPr>
          <w:rFonts w:eastAsia="楷体_GB2312"/>
          <w:color w:val="000000"/>
          <w:w w:val="0"/>
          <w:sz w:val="24"/>
        </w:rPr>
        <w:t>抵债资产</w:t>
      </w:r>
      <w:r>
        <w:rPr>
          <w:rFonts w:eastAsia="楷体_GB2312"/>
          <w:color w:val="000000"/>
          <w:sz w:val="24"/>
        </w:rPr>
        <w:t>”（如有）的，“委托人”应根据本合同的约定办理必要的变更/转移登记或财产交付手续。</w:t>
      </w:r>
    </w:p>
    <w:p w14:paraId="63EF6889">
      <w:pPr>
        <w:numPr>
          <w:ilvl w:val="0"/>
          <w:numId w:val="13"/>
        </w:numPr>
        <w:spacing w:line="360" w:lineRule="auto"/>
        <w:rPr>
          <w:rFonts w:eastAsia="楷体_GB2312"/>
          <w:color w:val="000000"/>
          <w:sz w:val="24"/>
        </w:rPr>
      </w:pPr>
      <w:r>
        <w:rPr>
          <w:rFonts w:eastAsia="楷体_GB2312"/>
          <w:color w:val="000000"/>
          <w:sz w:val="24"/>
        </w:rPr>
        <w:t>在“信托”设立后，“委托人”对“受托人”履行信托义务应当予以必要配合。</w:t>
      </w:r>
    </w:p>
    <w:p w14:paraId="728A3405">
      <w:pPr>
        <w:numPr>
          <w:ilvl w:val="0"/>
          <w:numId w:val="13"/>
        </w:numPr>
        <w:spacing w:line="360" w:lineRule="auto"/>
        <w:rPr>
          <w:rFonts w:eastAsia="楷体_GB2312"/>
          <w:color w:val="000000"/>
          <w:sz w:val="24"/>
        </w:rPr>
      </w:pPr>
      <w:r>
        <w:rPr>
          <w:rFonts w:eastAsia="楷体_GB2312"/>
          <w:color w:val="000000"/>
          <w:sz w:val="24"/>
        </w:rPr>
        <w:t>在“信托”设立后，如果“委托人”收到“义务人”支付的属于“信托财产”的资金，则“委托人”应立即将该资金及时交付给届时“受托人”或其指定的“贷款服务机构”，归入“信托财产”。</w:t>
      </w:r>
    </w:p>
    <w:p w14:paraId="3AFAA55E">
      <w:pPr>
        <w:numPr>
          <w:ilvl w:val="0"/>
          <w:numId w:val="13"/>
        </w:numPr>
        <w:spacing w:line="360" w:lineRule="auto"/>
        <w:rPr>
          <w:rFonts w:eastAsia="楷体_GB2312"/>
          <w:color w:val="000000"/>
          <w:sz w:val="24"/>
        </w:rPr>
      </w:pPr>
      <w:r>
        <w:rPr>
          <w:rFonts w:eastAsia="楷体_GB2312"/>
          <w:color w:val="000000"/>
          <w:sz w:val="24"/>
        </w:rPr>
        <w:t>除根据“《信托合同》”将“资产池”信托予“受托人”以及作为</w:t>
      </w:r>
      <w:r>
        <w:rPr>
          <w:rFonts w:eastAsia="楷体_GB2312"/>
          <w:sz w:val="24"/>
        </w:rPr>
        <w:t>“贷款服务机构”根据“《服务合同》”的约定管理和处置“资产”</w:t>
      </w:r>
      <w:r>
        <w:rPr>
          <w:rFonts w:eastAsia="楷体_GB2312"/>
          <w:color w:val="000000"/>
          <w:sz w:val="24"/>
        </w:rPr>
        <w:t>外，未经“受托人”同意，“委托人”不得将“资产池”出售、质押、抵押、转让或转移给任何其他主体，不得采取其他行动损害“受托人”对“资产池”或“账户记录”的所有权，不得在“资产池”或相关“账户记录”上设立或允许存在任何担保。</w:t>
      </w:r>
    </w:p>
    <w:p w14:paraId="3CA6E33C">
      <w:pPr>
        <w:numPr>
          <w:ilvl w:val="0"/>
          <w:numId w:val="13"/>
        </w:numPr>
        <w:spacing w:line="360" w:lineRule="auto"/>
        <w:rPr>
          <w:rFonts w:eastAsia="楷体_GB2312"/>
          <w:i/>
          <w:iCs/>
          <w:color w:val="000000"/>
          <w:sz w:val="24"/>
        </w:rPr>
      </w:pPr>
      <w:r>
        <w:rPr>
          <w:rFonts w:eastAsia="楷体_GB2312"/>
          <w:color w:val="000000"/>
          <w:sz w:val="24"/>
        </w:rPr>
        <w:t>除根据“《信托合同》”第</w:t>
      </w:r>
      <w:r>
        <w:rPr>
          <w:rFonts w:eastAsia="楷体_GB2312"/>
          <w:color w:val="000000"/>
          <w:sz w:val="24"/>
        </w:rPr>
        <w:fldChar w:fldCharType="begin"/>
      </w:r>
      <w:r>
        <w:rPr>
          <w:rFonts w:eastAsia="楷体_GB2312"/>
          <w:color w:val="000000"/>
          <w:sz w:val="24"/>
        </w:rPr>
        <w:instrText xml:space="preserve"> REF _Ref437356553 \r \h  \* MERGEFORMAT </w:instrText>
      </w:r>
      <w:r>
        <w:rPr>
          <w:rFonts w:eastAsia="楷体_GB2312"/>
          <w:color w:val="000000"/>
          <w:sz w:val="24"/>
        </w:rPr>
        <w:fldChar w:fldCharType="separate"/>
      </w:r>
      <w:r>
        <w:rPr>
          <w:rFonts w:eastAsia="楷体_GB2312"/>
          <w:color w:val="000000"/>
          <w:sz w:val="24"/>
        </w:rPr>
        <w:t>3.14</w:t>
      </w:r>
      <w:r>
        <w:rPr>
          <w:rFonts w:eastAsia="楷体_GB2312"/>
          <w:color w:val="000000"/>
          <w:sz w:val="24"/>
        </w:rPr>
        <w:fldChar w:fldCharType="end"/>
      </w:r>
      <w:r>
        <w:rPr>
          <w:rFonts w:eastAsia="楷体_GB2312"/>
          <w:color w:val="000000"/>
          <w:sz w:val="24"/>
        </w:rPr>
        <w:t>款的约定将“抵押权”、“抵押预告登记权益”</w:t>
      </w:r>
      <w:r>
        <w:rPr>
          <w:rFonts w:eastAsia="楷体_GB2312"/>
          <w:bCs/>
          <w:color w:val="000000"/>
          <w:sz w:val="24"/>
        </w:rPr>
        <w:t>或“质权”转移/</w:t>
      </w:r>
      <w:r>
        <w:rPr>
          <w:rFonts w:eastAsia="楷体_GB2312"/>
          <w:color w:val="000000"/>
          <w:sz w:val="24"/>
        </w:rPr>
        <w:t>变更登记至“受托人”名下或将“质物”或相关权利凭证交付给“受托人”、“贷款”已清偿完毕及为实现“抵押权”</w:t>
      </w:r>
      <w:r>
        <w:rPr>
          <w:rFonts w:eastAsia="楷体_GB2312"/>
          <w:bCs/>
          <w:color w:val="000000"/>
          <w:sz w:val="24"/>
        </w:rPr>
        <w:t>或“质权”</w:t>
      </w:r>
      <w:r>
        <w:rPr>
          <w:rFonts w:eastAsia="楷体_GB2312"/>
          <w:color w:val="000000"/>
          <w:sz w:val="24"/>
        </w:rPr>
        <w:t>外，“委托人”不得办理“抵押权”、“抵押预告登记权益”</w:t>
      </w:r>
      <w:r>
        <w:rPr>
          <w:rFonts w:eastAsia="楷体_GB2312"/>
          <w:bCs/>
          <w:color w:val="000000"/>
          <w:sz w:val="24"/>
        </w:rPr>
        <w:t>或“质权”</w:t>
      </w:r>
      <w:r>
        <w:rPr>
          <w:rFonts w:eastAsia="楷体_GB2312"/>
          <w:color w:val="000000"/>
          <w:sz w:val="24"/>
        </w:rPr>
        <w:t>的转移/变更登记、注销登记，不得处置或放弃“质物”或相关权利凭证、不得同意“抵押人”或“出质人”在“抵押房产”/“抵押资产”/“抵押车辆”或“质物”上设定其他权利负担，也不得放弃“抵押权”、“抵押预告登记权益”或“质权”。</w:t>
      </w:r>
    </w:p>
    <w:p w14:paraId="696857B3">
      <w:pPr>
        <w:spacing w:line="360" w:lineRule="auto"/>
        <w:ind w:left="1412"/>
        <w:rPr>
          <w:rFonts w:eastAsia="楷体_GB2312"/>
          <w:i/>
          <w:iCs/>
          <w:color w:val="000000"/>
          <w:sz w:val="24"/>
        </w:rPr>
      </w:pPr>
      <w:r>
        <w:rPr>
          <w:rFonts w:eastAsia="楷体_GB2312"/>
          <w:i/>
          <w:iCs/>
          <w:color w:val="FF0000"/>
          <w:sz w:val="24"/>
        </w:rPr>
        <w:t>【</w:t>
      </w:r>
      <w:r>
        <w:rPr>
          <w:rFonts w:eastAsia="楷体_GB2312"/>
          <w:b/>
          <w:bCs/>
          <w:i/>
          <w:iCs/>
          <w:color w:val="FF0000"/>
          <w:sz w:val="24"/>
        </w:rPr>
        <w:t>注：该项适用于附带抵质押担保的项目，如基础资产不涉及抵押预告登记，则删除本项中的相关表述。</w:t>
      </w:r>
      <w:r>
        <w:rPr>
          <w:rFonts w:eastAsia="楷体_GB2312"/>
          <w:i/>
          <w:iCs/>
          <w:color w:val="FF0000"/>
          <w:sz w:val="24"/>
        </w:rPr>
        <w:t>】</w:t>
      </w:r>
    </w:p>
    <w:p w14:paraId="62F9653D">
      <w:pPr>
        <w:numPr>
          <w:ilvl w:val="0"/>
          <w:numId w:val="13"/>
        </w:numPr>
        <w:spacing w:line="360" w:lineRule="auto"/>
        <w:rPr>
          <w:rFonts w:eastAsia="楷体_GB2312"/>
          <w:color w:val="000000"/>
          <w:sz w:val="24"/>
        </w:rPr>
      </w:pPr>
      <w:r>
        <w:rPr>
          <w:rFonts w:eastAsia="楷体_GB2312"/>
          <w:color w:val="000000"/>
          <w:sz w:val="24"/>
        </w:rPr>
        <w:t>“委托人”应遵从国家反洗钱规定，不得利用“信托”的设立、“信托财产”的运用、分配等本合同约定的财产转移方式从事洗钱性质的行为。</w:t>
      </w:r>
    </w:p>
    <w:p w14:paraId="14ADAEA1">
      <w:pPr>
        <w:numPr>
          <w:ilvl w:val="0"/>
          <w:numId w:val="13"/>
        </w:numPr>
        <w:spacing w:line="360" w:lineRule="auto"/>
        <w:rPr>
          <w:rFonts w:eastAsia="楷体_GB2312"/>
          <w:color w:val="000000"/>
        </w:rPr>
      </w:pPr>
      <w:r>
        <w:rPr>
          <w:rFonts w:eastAsia="楷体_GB2312"/>
          <w:color w:val="000000"/>
          <w:sz w:val="24"/>
        </w:rPr>
        <w:t>“中国”“法律”规定的和本合同约定的其他义务。</w:t>
      </w:r>
    </w:p>
    <w:p w14:paraId="66110551">
      <w:pPr>
        <w:numPr>
          <w:ilvl w:val="1"/>
          <w:numId w:val="7"/>
        </w:numPr>
        <w:spacing w:line="360" w:lineRule="auto"/>
        <w:rPr>
          <w:rFonts w:eastAsia="楷体_GB2312"/>
          <w:color w:val="000000"/>
        </w:rPr>
      </w:pPr>
      <w:r>
        <w:rPr>
          <w:rFonts w:eastAsia="楷体_GB2312"/>
          <w:b/>
          <w:color w:val="000000"/>
          <w:sz w:val="24"/>
        </w:rPr>
        <w:t>委托人的陈述和保证</w:t>
      </w:r>
    </w:p>
    <w:p w14:paraId="3605E26C">
      <w:pPr>
        <w:spacing w:line="360" w:lineRule="auto"/>
        <w:ind w:left="992"/>
        <w:rPr>
          <w:rFonts w:eastAsia="楷体_GB2312"/>
          <w:color w:val="000000"/>
          <w:sz w:val="24"/>
        </w:rPr>
      </w:pPr>
      <w:r>
        <w:rPr>
          <w:rFonts w:eastAsia="楷体_GB2312"/>
          <w:color w:val="000000"/>
          <w:sz w:val="24"/>
        </w:rPr>
        <w:t>在本合同签署之日（或本款约定的任何其他日期），为本合同对方的利益，“委托人”陈述并保证如下：</w:t>
      </w:r>
    </w:p>
    <w:p w14:paraId="1ACC1597">
      <w:pPr>
        <w:numPr>
          <w:ilvl w:val="2"/>
          <w:numId w:val="7"/>
        </w:numPr>
        <w:spacing w:line="360" w:lineRule="auto"/>
        <w:ind w:left="1701" w:hanging="708"/>
        <w:rPr>
          <w:rFonts w:eastAsia="楷体_GB2312"/>
          <w:color w:val="000000"/>
          <w:sz w:val="24"/>
        </w:rPr>
      </w:pPr>
      <w:r>
        <w:rPr>
          <w:rFonts w:eastAsia="楷体_GB2312"/>
          <w:color w:val="000000"/>
          <w:sz w:val="24"/>
        </w:rPr>
        <w:t>本合同签署之日，“委托人”已按照</w:t>
      </w:r>
      <w:r>
        <w:rPr>
          <w:rFonts w:eastAsia="楷体_GB2312"/>
          <w:bCs/>
          <w:color w:val="000000"/>
          <w:sz w:val="24"/>
        </w:rPr>
        <w:t>“</w:t>
      </w:r>
      <w:r>
        <w:rPr>
          <w:rFonts w:eastAsia="楷体_GB2312"/>
          <w:color w:val="000000"/>
          <w:sz w:val="24"/>
        </w:rPr>
        <w:t>中国”“法律”正式注册成立并有效存续，具有继续进行其正在经营之业务和履行本合同条款的各项权利和授权；</w:t>
      </w:r>
    </w:p>
    <w:p w14:paraId="2264F8DB">
      <w:pPr>
        <w:numPr>
          <w:ilvl w:val="2"/>
          <w:numId w:val="7"/>
        </w:numPr>
        <w:spacing w:line="360" w:lineRule="auto"/>
        <w:ind w:left="1701" w:hanging="708"/>
        <w:rPr>
          <w:rFonts w:eastAsia="楷体_GB2312"/>
          <w:color w:val="000000"/>
        </w:rPr>
      </w:pPr>
      <w:r>
        <w:rPr>
          <w:rFonts w:eastAsia="楷体_GB2312"/>
          <w:color w:val="000000"/>
          <w:sz w:val="24"/>
        </w:rPr>
        <w:t>为授权签署本合同，“委托人”已履行一切必要的内部程序。本合同构成“委托人”合法的、有效的和有约束力的义务，其他相关方可按照本合同的条款对其主张相应权利（除非该等权利的主张受到现时或未来有效并涉及影响债权人的权利和救济的破产清算、重整、和解或其他类似的法律限制）；</w:t>
      </w:r>
    </w:p>
    <w:p w14:paraId="16ABA97A">
      <w:pPr>
        <w:numPr>
          <w:ilvl w:val="2"/>
          <w:numId w:val="7"/>
        </w:numPr>
        <w:spacing w:line="360" w:lineRule="auto"/>
        <w:ind w:left="1701" w:hanging="708"/>
        <w:rPr>
          <w:rFonts w:eastAsia="楷体_GB2312"/>
          <w:color w:val="000000"/>
          <w:sz w:val="24"/>
        </w:rPr>
      </w:pPr>
      <w:r>
        <w:rPr>
          <w:rFonts w:eastAsia="楷体_GB2312"/>
          <w:color w:val="000000"/>
          <w:sz w:val="24"/>
        </w:rPr>
        <w:t>除“交易文件”另有约定的以外，“委托人”已为签署和交付本合同以及履行本合同项下约定之义务取得了各项必要的确认、同意、许可、批准和授权，并已办理了各项必要的声明、申请、备案、登记、通知和报告手续；</w:t>
      </w:r>
    </w:p>
    <w:p w14:paraId="52915E79">
      <w:pPr>
        <w:numPr>
          <w:ilvl w:val="2"/>
          <w:numId w:val="7"/>
        </w:numPr>
        <w:spacing w:line="360" w:lineRule="auto"/>
        <w:ind w:left="1701" w:hanging="708"/>
        <w:rPr>
          <w:rFonts w:eastAsia="楷体_GB2312"/>
          <w:color w:val="000000"/>
        </w:rPr>
      </w:pPr>
      <w:r>
        <w:rPr>
          <w:rFonts w:eastAsia="楷体_GB2312"/>
          <w:color w:val="000000"/>
          <w:sz w:val="24"/>
        </w:rPr>
        <w:t>据“委托人”所知，本合同签署之日，“委托人”签署、交付和履行本合同条款，第一，不违反或抵触适用于“委托人”的任何</w:t>
      </w:r>
      <w:r>
        <w:rPr>
          <w:rFonts w:eastAsia="楷体_GB2312"/>
          <w:bCs/>
          <w:color w:val="000000"/>
          <w:sz w:val="24"/>
        </w:rPr>
        <w:t>“</w:t>
      </w:r>
      <w:r>
        <w:rPr>
          <w:rFonts w:eastAsia="楷体_GB2312"/>
          <w:color w:val="000000"/>
          <w:sz w:val="24"/>
        </w:rPr>
        <w:t>中国”“法律”规定；第二，不违反“委托人”的组建文件；第三，不违反且不会导致“委托人”违反其作为一方或对其或其财产有约束力的任何有效协议、契据、承诺、判决或命令的约定或规定，且不会因此导致“重大不利影响”；第四，不会构成任何该等协议、契据或承诺项下的违约事件，且不会因此导致“重大不利影响”；</w:t>
      </w:r>
    </w:p>
    <w:p w14:paraId="2DE227CB">
      <w:pPr>
        <w:numPr>
          <w:ilvl w:val="2"/>
          <w:numId w:val="7"/>
        </w:numPr>
        <w:spacing w:line="360" w:lineRule="auto"/>
        <w:ind w:left="1701" w:hanging="708"/>
        <w:rPr>
          <w:rFonts w:eastAsia="楷体_GB2312"/>
          <w:color w:val="000000"/>
          <w:sz w:val="24"/>
        </w:rPr>
      </w:pPr>
      <w:r>
        <w:rPr>
          <w:rFonts w:eastAsia="楷体_GB2312"/>
          <w:color w:val="000000"/>
          <w:sz w:val="24"/>
        </w:rPr>
        <w:t>就“委托人”所知，本合同签署之日，未出现或持续存在任何其他不利事件，也不存在任何不利状况，会构成违反“委托人”作为一方或对其或其财产有约束力的任何协议或契据项下的约定或规定，且可能因此导致“重大不利影响”；</w:t>
      </w:r>
    </w:p>
    <w:p w14:paraId="581D566F">
      <w:pPr>
        <w:numPr>
          <w:ilvl w:val="2"/>
          <w:numId w:val="7"/>
        </w:numPr>
        <w:spacing w:line="360" w:lineRule="auto"/>
        <w:ind w:left="1701" w:hanging="708"/>
        <w:rPr>
          <w:rFonts w:eastAsia="楷体_GB2312"/>
          <w:color w:val="000000"/>
        </w:rPr>
      </w:pPr>
      <w:r>
        <w:rPr>
          <w:rFonts w:eastAsia="楷体_GB2312"/>
          <w:color w:val="000000"/>
          <w:sz w:val="24"/>
        </w:rPr>
        <w:t>就“委托人”所知，本合同签署之日，没有任何诉讼、仲裁或其他司法或是行政争端威胁、质疑本合同或根据本合同已采取或将要采取的行动的有效性，或有可能个别地或整体地导致“重大不利影响”；“委托人”没有违反任何可能导致“重大不利影响”的“政府机构”命令；</w:t>
      </w:r>
    </w:p>
    <w:p w14:paraId="7889C94C">
      <w:pPr>
        <w:numPr>
          <w:ilvl w:val="2"/>
          <w:numId w:val="7"/>
        </w:numPr>
        <w:spacing w:line="360" w:lineRule="auto"/>
        <w:ind w:left="1701" w:hanging="708"/>
        <w:rPr>
          <w:rFonts w:eastAsia="楷体_GB2312"/>
          <w:color w:val="000000"/>
          <w:sz w:val="24"/>
        </w:rPr>
      </w:pPr>
      <w:r>
        <w:rPr>
          <w:rFonts w:eastAsia="楷体_GB2312"/>
          <w:color w:val="000000"/>
          <w:sz w:val="24"/>
        </w:rPr>
        <w:t>“委托人”具有清偿债务的能力，在可合理预见的未来，不会因“信托”的设立、“信托财产”的转让、本合同或其他“交易文件”项下的任何其他交易而丧失清偿能力；“委托人”未发生“丧失清偿能力事件”；“委托人”未采取任何公司行动，也没有他人针对“委托人”采取其他任何不利步骤，或者开始或即将启动任何法律程序，以使其解散或就其或其全部或部分财产或收入委任接管人、清算人或类似人员；“委托人”有清偿能力能够支付其任一债务，对其不存在争议（包括但不限于不存在诉讼和仲裁）的债务，不会故意迟延支付；</w:t>
      </w:r>
    </w:p>
    <w:p w14:paraId="58FC54CE">
      <w:pPr>
        <w:numPr>
          <w:ilvl w:val="2"/>
          <w:numId w:val="7"/>
        </w:numPr>
        <w:spacing w:line="360" w:lineRule="auto"/>
        <w:ind w:left="1701" w:hanging="708"/>
        <w:rPr>
          <w:rFonts w:eastAsia="楷体_GB2312"/>
          <w:color w:val="000000"/>
        </w:rPr>
      </w:pPr>
      <w:r>
        <w:rPr>
          <w:rFonts w:eastAsia="楷体_GB2312"/>
          <w:color w:val="000000"/>
          <w:sz w:val="24"/>
        </w:rPr>
        <w:t>“委托人”公布的其最近一个财务年度经审计的财务报告，能够准确地反映“委托人”在该等报告期间的财务状况；且自该等财务报告出具之日以后，亦未发生“重大不利变化”；</w:t>
      </w:r>
    </w:p>
    <w:p w14:paraId="634E47C3">
      <w:pPr>
        <w:numPr>
          <w:ilvl w:val="2"/>
          <w:numId w:val="7"/>
        </w:numPr>
        <w:spacing w:line="360" w:lineRule="auto"/>
        <w:ind w:left="1701" w:hanging="708"/>
        <w:rPr>
          <w:rFonts w:eastAsia="楷体_GB2312"/>
          <w:color w:val="000000"/>
          <w:sz w:val="24"/>
        </w:rPr>
      </w:pPr>
      <w:r>
        <w:rPr>
          <w:rFonts w:eastAsia="楷体_GB2312"/>
          <w:color w:val="000000"/>
          <w:sz w:val="24"/>
        </w:rPr>
        <w:t>“委托人”将及时报送本合同项下所有须由“委托人”报送的纳税文件，并将及时缴纳本合同项下依法应由“委托人”承担的税款、税项、摊派税款和其他经合法批准的政府收费；</w:t>
      </w:r>
    </w:p>
    <w:p w14:paraId="4D23F761">
      <w:pPr>
        <w:numPr>
          <w:ilvl w:val="2"/>
          <w:numId w:val="7"/>
        </w:numPr>
        <w:spacing w:line="360" w:lineRule="auto"/>
        <w:ind w:left="1701" w:hanging="708"/>
        <w:rPr>
          <w:rFonts w:eastAsia="楷体_GB2312"/>
          <w:color w:val="000000"/>
        </w:rPr>
      </w:pPr>
      <w:r>
        <w:rPr>
          <w:rFonts w:eastAsia="楷体_GB2312"/>
          <w:color w:val="000000"/>
          <w:sz w:val="24"/>
        </w:rPr>
        <w:t>本合同项下设立的“信托”，按照所适用的</w:t>
      </w:r>
      <w:r>
        <w:rPr>
          <w:rFonts w:eastAsia="楷体_GB2312"/>
          <w:bCs/>
          <w:color w:val="000000"/>
          <w:sz w:val="24"/>
        </w:rPr>
        <w:t>“</w:t>
      </w:r>
      <w:r>
        <w:rPr>
          <w:rFonts w:eastAsia="楷体_GB2312"/>
          <w:color w:val="000000"/>
          <w:sz w:val="24"/>
        </w:rPr>
        <w:t>中国”“法律”并非是可撤销的、或为非法的目的而设，“委托人”进行“交易文件”项下的交易也并非出于非法的目的；</w:t>
      </w:r>
    </w:p>
    <w:p w14:paraId="77D62185">
      <w:pPr>
        <w:numPr>
          <w:ilvl w:val="2"/>
          <w:numId w:val="7"/>
        </w:numPr>
        <w:spacing w:line="360" w:lineRule="auto"/>
        <w:ind w:left="1701" w:hanging="708"/>
        <w:rPr>
          <w:rFonts w:eastAsia="楷体_GB2312"/>
          <w:color w:val="000000"/>
          <w:sz w:val="24"/>
        </w:rPr>
      </w:pPr>
      <w:r>
        <w:rPr>
          <w:rFonts w:eastAsia="楷体_GB2312"/>
          <w:color w:val="000000"/>
          <w:sz w:val="24"/>
        </w:rPr>
        <w:t>就“委托人”所知，本合同签署之日，未出现任何不利事件，也不存在任何不利状况，且按照本合同以“资产池”设立信托或运用其收益也不会导致任何不利事件或状况，而构成或被合理预期将构成与“贷款服务机构”有关的任何“贷款服务机构解任事件”；</w:t>
      </w:r>
    </w:p>
    <w:p w14:paraId="6CD0F0FC">
      <w:pPr>
        <w:numPr>
          <w:ilvl w:val="2"/>
          <w:numId w:val="7"/>
        </w:numPr>
        <w:spacing w:line="360" w:lineRule="auto"/>
        <w:ind w:left="1701" w:hanging="708"/>
        <w:rPr>
          <w:rFonts w:eastAsia="楷体_GB2312"/>
          <w:color w:val="000000"/>
        </w:rPr>
      </w:pPr>
      <w:r>
        <w:rPr>
          <w:rFonts w:eastAsia="楷体_GB2312"/>
          <w:color w:val="000000"/>
          <w:sz w:val="24"/>
        </w:rPr>
        <w:t>“委托人”在“交易文件”中（无论是作为“委托人”还是“贷款服务机构”）作出的陈述和保证，在所有重大方面均真实、完整和正确；</w:t>
      </w:r>
    </w:p>
    <w:p w14:paraId="26B9F58D">
      <w:pPr>
        <w:numPr>
          <w:ilvl w:val="2"/>
          <w:numId w:val="7"/>
        </w:numPr>
        <w:spacing w:line="360" w:lineRule="auto"/>
        <w:ind w:left="1701" w:hanging="708"/>
        <w:rPr>
          <w:rFonts w:eastAsia="楷体_GB2312"/>
          <w:color w:val="000000"/>
          <w:sz w:val="24"/>
        </w:rPr>
      </w:pPr>
      <w:r>
        <w:rPr>
          <w:rFonts w:eastAsia="楷体_GB2312"/>
          <w:color w:val="000000"/>
          <w:sz w:val="24"/>
        </w:rPr>
        <w:t>“委托人”为“交易文件”项下交易或与之有关的目的，在“信托生效日”之前提供给“受托人”、“法律顾问”、“会计顾问”、“评级机构”、“评估机构”（如有）、“主承销商”或其他相关中介服务机构的所有书面信息（如有，该等信息在“信托生效日”之前可能已被更新或补充），以及“委托人”在“信托生效日”之后提供给“受托人”、“评级机构”、“审计师”、“评估机构”（如有）或“资产支持证券持有人”的所有书面信息（如有），在该等信息陈述或确认之日在所有重大方面均真实、完整和准确；</w:t>
      </w:r>
    </w:p>
    <w:p w14:paraId="470DDB65">
      <w:pPr>
        <w:numPr>
          <w:ilvl w:val="2"/>
          <w:numId w:val="7"/>
        </w:numPr>
        <w:spacing w:line="360" w:lineRule="auto"/>
        <w:ind w:left="1701" w:hanging="708"/>
        <w:rPr>
          <w:rFonts w:eastAsia="楷体_GB2312"/>
          <w:color w:val="000000"/>
        </w:rPr>
      </w:pPr>
      <w:r>
        <w:rPr>
          <w:rFonts w:eastAsia="楷体_GB2312"/>
          <w:color w:val="000000"/>
          <w:sz w:val="24"/>
        </w:rPr>
        <w:t>“委托人”签署、交付和履行本合同以及根据本合同设立“信托”和转让全部“信托财产”均系商业行为，并非公共或政府行为；“委托人”及“信托财产”在</w:t>
      </w:r>
      <w:r>
        <w:rPr>
          <w:rFonts w:eastAsia="楷体_GB2312"/>
          <w:bCs/>
          <w:color w:val="000000"/>
          <w:sz w:val="24"/>
        </w:rPr>
        <w:t>“</w:t>
      </w:r>
      <w:r>
        <w:rPr>
          <w:rFonts w:eastAsia="楷体_GB2312"/>
          <w:color w:val="000000"/>
          <w:sz w:val="24"/>
        </w:rPr>
        <w:t>中国”“法律”项下对于法律程序文件的送达、管辖权、诉讼、仲裁、判决、仲裁裁决、抵销、反请求、强制执行判决、查封财产（无论是在诉讼或仲裁之前还是之后为执行判决或裁决）以及其他法律程序均不享有任何豁免权；</w:t>
      </w:r>
    </w:p>
    <w:p w14:paraId="79A67BDE">
      <w:pPr>
        <w:numPr>
          <w:ilvl w:val="2"/>
          <w:numId w:val="7"/>
        </w:numPr>
        <w:spacing w:line="360" w:lineRule="auto"/>
        <w:ind w:left="1701" w:hanging="708"/>
        <w:rPr>
          <w:rFonts w:eastAsia="楷体_GB2312"/>
          <w:color w:val="000000"/>
          <w:sz w:val="24"/>
        </w:rPr>
      </w:pPr>
      <w:r>
        <w:rPr>
          <w:rFonts w:eastAsia="楷体_GB2312"/>
          <w:color w:val="000000"/>
          <w:sz w:val="24"/>
        </w:rPr>
        <w:t>本合同项下的交易不会对“委托人”的任何第三方债权人的任何权利和正当利益产生重大不利影响；</w:t>
      </w:r>
    </w:p>
    <w:p w14:paraId="02EAED1C">
      <w:pPr>
        <w:numPr>
          <w:ilvl w:val="2"/>
          <w:numId w:val="7"/>
        </w:numPr>
        <w:spacing w:line="360" w:lineRule="auto"/>
        <w:ind w:left="1701" w:hanging="708"/>
        <w:rPr>
          <w:rFonts w:eastAsia="楷体_GB2312"/>
          <w:color w:val="000000"/>
        </w:rPr>
      </w:pPr>
      <w:r>
        <w:rPr>
          <w:rFonts w:eastAsia="楷体_GB2312"/>
          <w:color w:val="000000"/>
          <w:sz w:val="24"/>
        </w:rPr>
        <w:t>“委托人”参与的其他任何交易不会对本合同和其他“交易文件”项下所约定的交易以及“受托人”关于“信托财产”及在“交易文件”项下的权利或利益造成“重大不利影响”；</w:t>
      </w:r>
    </w:p>
    <w:p w14:paraId="09970F96">
      <w:pPr>
        <w:numPr>
          <w:ilvl w:val="2"/>
          <w:numId w:val="7"/>
        </w:numPr>
        <w:spacing w:line="360" w:lineRule="auto"/>
        <w:ind w:left="1701" w:hanging="708"/>
        <w:rPr>
          <w:rFonts w:eastAsia="楷体_GB2312"/>
          <w:color w:val="000000"/>
        </w:rPr>
      </w:pPr>
      <w:r>
        <w:rPr>
          <w:rFonts w:eastAsia="楷体_GB2312"/>
          <w:color w:val="000000"/>
          <w:sz w:val="24"/>
        </w:rPr>
        <w:t>“委托人”确信，在选择“资产池”的过程中，未使用任何会对“资产支持证券持有人”的合法或正当利益产生“重大不利影响”的筛选程序；</w:t>
      </w:r>
    </w:p>
    <w:p w14:paraId="033D9AC1">
      <w:pPr>
        <w:numPr>
          <w:ilvl w:val="2"/>
          <w:numId w:val="7"/>
        </w:numPr>
        <w:tabs>
          <w:tab w:val="left" w:pos="900"/>
          <w:tab w:val="left" w:pos="1843"/>
        </w:tabs>
        <w:spacing w:line="360" w:lineRule="auto"/>
        <w:ind w:left="1701" w:hanging="709"/>
        <w:rPr>
          <w:rFonts w:eastAsia="楷体_GB2312"/>
          <w:color w:val="000000"/>
        </w:rPr>
      </w:pPr>
      <w:r>
        <w:rPr>
          <w:rFonts w:eastAsia="楷体_GB2312"/>
          <w:color w:val="000000"/>
          <w:sz w:val="24"/>
        </w:rPr>
        <w:t>“委托人”能定期准确地产生关于“信托财产”及相关“借款人”总体履约情况的统计信息；</w:t>
      </w:r>
    </w:p>
    <w:p w14:paraId="6D669D7E">
      <w:pPr>
        <w:numPr>
          <w:ilvl w:val="2"/>
          <w:numId w:val="7"/>
        </w:numPr>
        <w:spacing w:line="360" w:lineRule="auto"/>
        <w:ind w:left="1701" w:hanging="708"/>
        <w:rPr>
          <w:rFonts w:eastAsia="楷体_GB2312"/>
          <w:color w:val="000000"/>
        </w:rPr>
      </w:pPr>
      <w:r>
        <w:rPr>
          <w:rFonts w:eastAsia="楷体_GB2312"/>
          <w:color w:val="000000"/>
          <w:sz w:val="24"/>
        </w:rPr>
        <w:t>“委托人”将“信托财产”信托和转让给“受托人”的行为，不违反</w:t>
      </w:r>
      <w:r>
        <w:rPr>
          <w:rFonts w:eastAsia="楷体_GB2312"/>
          <w:bCs/>
          <w:color w:val="000000"/>
          <w:sz w:val="24"/>
        </w:rPr>
        <w:t>“</w:t>
      </w:r>
      <w:r>
        <w:rPr>
          <w:rFonts w:eastAsia="楷体_GB2312"/>
          <w:color w:val="000000"/>
          <w:sz w:val="24"/>
        </w:rPr>
        <w:t>中国”“法律”的相关规定；</w:t>
      </w:r>
    </w:p>
    <w:p w14:paraId="14B4CEFC">
      <w:pPr>
        <w:numPr>
          <w:ilvl w:val="2"/>
          <w:numId w:val="7"/>
        </w:numPr>
        <w:spacing w:line="360" w:lineRule="auto"/>
        <w:ind w:left="1701" w:hanging="708"/>
        <w:rPr>
          <w:rFonts w:eastAsia="楷体_GB2312"/>
          <w:color w:val="000000"/>
        </w:rPr>
      </w:pPr>
      <w:r>
        <w:rPr>
          <w:rFonts w:eastAsia="楷体_GB2312"/>
          <w:color w:val="000000"/>
          <w:sz w:val="24"/>
        </w:rPr>
        <w:t>在“信托生效日”，“委托人”交付的“资产池”实质上不构成“委托人”在该日的全部资产；</w:t>
      </w:r>
    </w:p>
    <w:p w14:paraId="777565E5">
      <w:pPr>
        <w:numPr>
          <w:ilvl w:val="2"/>
          <w:numId w:val="7"/>
        </w:numPr>
        <w:spacing w:line="360" w:lineRule="auto"/>
        <w:ind w:left="1701" w:hanging="708"/>
        <w:rPr>
          <w:rFonts w:eastAsia="楷体_GB2312"/>
          <w:color w:val="000000"/>
          <w:sz w:val="24"/>
        </w:rPr>
      </w:pPr>
      <w:r>
        <w:rPr>
          <w:rFonts w:eastAsia="楷体_GB2312"/>
          <w:color w:val="000000"/>
          <w:sz w:val="24"/>
        </w:rPr>
        <w:t>“信托”的设立不会损害任何被信托的“资产”项下可对“借款人”主张的权利；</w:t>
      </w:r>
    </w:p>
    <w:p w14:paraId="6DD305EA">
      <w:pPr>
        <w:numPr>
          <w:ilvl w:val="2"/>
          <w:numId w:val="7"/>
        </w:numPr>
        <w:spacing w:line="360" w:lineRule="auto"/>
        <w:ind w:left="1701" w:hanging="708"/>
        <w:rPr>
          <w:rFonts w:eastAsia="楷体_GB2312"/>
          <w:color w:val="000000"/>
        </w:rPr>
      </w:pPr>
      <w:r>
        <w:rPr>
          <w:rFonts w:eastAsia="楷体_GB2312"/>
          <w:color w:val="000000"/>
          <w:sz w:val="24"/>
        </w:rPr>
        <w:t>设立“信托”的目的不违反</w:t>
      </w:r>
      <w:r>
        <w:rPr>
          <w:rFonts w:eastAsia="楷体_GB2312"/>
          <w:bCs/>
          <w:color w:val="000000"/>
          <w:sz w:val="24"/>
        </w:rPr>
        <w:t>“</w:t>
      </w:r>
      <w:r>
        <w:rPr>
          <w:rFonts w:eastAsia="楷体_GB2312"/>
          <w:color w:val="000000"/>
          <w:sz w:val="24"/>
        </w:rPr>
        <w:t>中国”“法律”的强制性或禁止性规定或者损害社会公共利益；以及</w:t>
      </w:r>
    </w:p>
    <w:p w14:paraId="5396C86F">
      <w:pPr>
        <w:numPr>
          <w:ilvl w:val="2"/>
          <w:numId w:val="7"/>
        </w:numPr>
        <w:spacing w:line="360" w:lineRule="auto"/>
        <w:ind w:left="1701" w:hanging="708"/>
        <w:rPr>
          <w:rFonts w:eastAsia="楷体_GB2312"/>
          <w:color w:val="000000"/>
        </w:rPr>
      </w:pPr>
      <w:r>
        <w:rPr>
          <w:rFonts w:eastAsia="楷体_GB2312"/>
          <w:color w:val="000000"/>
          <w:sz w:val="24"/>
        </w:rPr>
        <w:t>“信托”并非专为诉讼或讨债而设立。</w:t>
      </w:r>
    </w:p>
    <w:p w14:paraId="5A942FDA">
      <w:pPr>
        <w:numPr>
          <w:ilvl w:val="1"/>
          <w:numId w:val="7"/>
        </w:numPr>
        <w:spacing w:line="360" w:lineRule="auto"/>
        <w:rPr>
          <w:rFonts w:eastAsia="楷体_GB2312"/>
          <w:color w:val="000000"/>
        </w:rPr>
      </w:pPr>
      <w:bookmarkStart w:id="336" w:name="_Ref459196200"/>
      <w:r>
        <w:rPr>
          <w:rFonts w:eastAsia="楷体_GB2312"/>
          <w:b/>
          <w:color w:val="000000"/>
          <w:sz w:val="24"/>
        </w:rPr>
        <w:t>资产保证</w:t>
      </w:r>
      <w:bookmarkEnd w:id="336"/>
    </w:p>
    <w:p w14:paraId="01FC9CC2">
      <w:pPr>
        <w:pStyle w:val="144"/>
        <w:spacing w:line="360" w:lineRule="auto"/>
        <w:ind w:left="425" w:firstLine="482"/>
        <w:rPr>
          <w:rFonts w:eastAsia="楷体_GB2312"/>
          <w:color w:val="FF0000"/>
          <w:sz w:val="24"/>
        </w:rPr>
      </w:pPr>
      <w:r>
        <w:rPr>
          <w:rFonts w:eastAsia="楷体_GB2312"/>
          <w:b/>
          <w:bCs/>
          <w:i/>
          <w:iCs/>
          <w:color w:val="FF0000"/>
          <w:sz w:val="24"/>
        </w:rPr>
        <w:t>【注：资产保证可根据具体项目情况调整或删除。】</w:t>
      </w:r>
    </w:p>
    <w:p w14:paraId="53167ACB">
      <w:pPr>
        <w:spacing w:line="360" w:lineRule="auto"/>
        <w:ind w:left="992"/>
        <w:rPr>
          <w:rFonts w:eastAsia="楷体_GB2312"/>
          <w:color w:val="000000"/>
          <w:sz w:val="24"/>
        </w:rPr>
      </w:pPr>
      <w:r>
        <w:rPr>
          <w:rFonts w:eastAsia="楷体_GB2312"/>
          <w:color w:val="000000"/>
          <w:sz w:val="24"/>
        </w:rPr>
        <w:t>为本合同相对方的利益，“委托人”于“初始起算日”</w:t>
      </w:r>
      <w:r>
        <w:rPr>
          <w:rFonts w:eastAsia="楷体_GB2312"/>
          <w:i/>
          <w:iCs/>
          <w:color w:val="000000"/>
          <w:sz w:val="24"/>
        </w:rPr>
        <w:t>【具体时点】</w:t>
      </w:r>
      <w:r>
        <w:rPr>
          <w:rFonts w:eastAsia="楷体_GB2312"/>
          <w:color w:val="000000"/>
          <w:sz w:val="24"/>
        </w:rPr>
        <w:t>和“信托生效日”（除非具体条款中对时间另有明确约定）就其向“受托人”交付的每一笔“资产”的状况，作出陈述和保证如下：</w:t>
      </w:r>
    </w:p>
    <w:p w14:paraId="2071A00E">
      <w:pPr>
        <w:numPr>
          <w:ilvl w:val="2"/>
          <w:numId w:val="7"/>
        </w:numPr>
        <w:tabs>
          <w:tab w:val="left" w:pos="3544"/>
        </w:tabs>
        <w:spacing w:line="360" w:lineRule="auto"/>
        <w:rPr>
          <w:rFonts w:eastAsia="楷体_GB2312"/>
          <w:color w:val="000000"/>
          <w:sz w:val="24"/>
        </w:rPr>
      </w:pPr>
      <w:r>
        <w:rPr>
          <w:rFonts w:eastAsia="楷体_GB2312"/>
          <w:color w:val="000000"/>
          <w:sz w:val="24"/>
        </w:rPr>
        <w:t>在相应“贷款”结清前，“委托人”是每一笔“贷款”的唯一债权人，【是每一处“抵押房产”已登记的唯一第一顺位抵押权人或唯一“抵押预告登记权益”的享有人，是相应“质物”唯一的“质权人”（如有），对相关的“抵押权”、“抵押预告登记权益”或“质权”（如有）拥有合法的请求权】；“委托人”未向任何第三方转让该等权利或利益；“委托人”未对该等权利或利益设定任何担保权益、抵押或任何其他财产负担；且在“信托生效日”，该等权利或利益不是任何拟议或正在进行的证券化、资产转让、融资等导致该等权利或利益权属发生变更或被设定权利负担的交易的标的；</w:t>
      </w:r>
    </w:p>
    <w:p w14:paraId="42160F8E">
      <w:pPr>
        <w:numPr>
          <w:ilvl w:val="2"/>
          <w:numId w:val="7"/>
        </w:numPr>
        <w:spacing w:line="360" w:lineRule="auto"/>
        <w:ind w:left="1701" w:hanging="708"/>
        <w:rPr>
          <w:rFonts w:eastAsia="楷体_GB2312"/>
          <w:color w:val="000000"/>
          <w:sz w:val="24"/>
        </w:rPr>
      </w:pPr>
      <w:r>
        <w:rPr>
          <w:rFonts w:eastAsia="楷体_GB2312"/>
          <w:color w:val="000000"/>
          <w:sz w:val="24"/>
        </w:rPr>
        <w:t>在“初始起算日”</w:t>
      </w:r>
      <w:r>
        <w:rPr>
          <w:rFonts w:eastAsia="楷体_GB2312"/>
          <w:i/>
          <w:iCs/>
          <w:color w:val="000000"/>
          <w:sz w:val="24"/>
        </w:rPr>
        <w:t>【具体时点】</w:t>
      </w:r>
      <w:r>
        <w:rPr>
          <w:rFonts w:eastAsia="楷体_GB2312"/>
          <w:color w:val="000000"/>
          <w:sz w:val="24"/>
        </w:rPr>
        <w:t>和“信托生效日”（“合格标准”对时间另有约定的除外），每一笔“</w:t>
      </w:r>
      <w:r>
        <w:rPr>
          <w:rFonts w:eastAsia="楷体_GB2312"/>
          <w:bCs/>
          <w:snapToGrid w:val="0"/>
          <w:color w:val="000000"/>
          <w:kern w:val="28"/>
          <w:sz w:val="24"/>
          <w:szCs w:val="20"/>
        </w:rPr>
        <w:t>资产</w:t>
      </w:r>
      <w:r>
        <w:rPr>
          <w:rFonts w:eastAsia="楷体_GB2312"/>
          <w:color w:val="000000"/>
          <w:sz w:val="24"/>
        </w:rPr>
        <w:t>”均符合“合格标准”；</w:t>
      </w:r>
    </w:p>
    <w:p w14:paraId="635F8596">
      <w:pPr>
        <w:numPr>
          <w:ilvl w:val="2"/>
          <w:numId w:val="7"/>
        </w:numPr>
        <w:spacing w:line="360" w:lineRule="auto"/>
        <w:ind w:left="1701" w:hanging="708"/>
        <w:rPr>
          <w:rFonts w:eastAsia="楷体_GB2312"/>
          <w:color w:val="000000"/>
          <w:sz w:val="24"/>
        </w:rPr>
      </w:pPr>
      <w:r>
        <w:rPr>
          <w:rFonts w:eastAsia="楷体_GB2312"/>
          <w:color w:val="000000"/>
          <w:sz w:val="24"/>
        </w:rPr>
        <w:t>据“委托人”所知，“委托人”向“受托人”提供的关于“委托人”转让的“资产”的必要的资料和信息，在所有可能对债权的真实性和回收的实现有重大影响的方面均真实、准确和完整；</w:t>
      </w:r>
    </w:p>
    <w:p w14:paraId="6294C4E0">
      <w:pPr>
        <w:numPr>
          <w:ilvl w:val="2"/>
          <w:numId w:val="7"/>
        </w:numPr>
        <w:spacing w:line="360" w:lineRule="auto"/>
        <w:ind w:left="1701" w:hanging="708"/>
        <w:rPr>
          <w:rFonts w:eastAsia="楷体_GB2312"/>
          <w:color w:val="000000"/>
        </w:rPr>
      </w:pPr>
      <w:r>
        <w:rPr>
          <w:rFonts w:eastAsia="楷体_GB2312"/>
          <w:color w:val="000000"/>
          <w:sz w:val="24"/>
        </w:rPr>
        <w:t>“贷款”由“委托人”在其一般经营过程中，按照其标准程序和所有其他可适用的与“贷款”业务有关的政策、实践以及程序的要求而发放；</w:t>
      </w:r>
    </w:p>
    <w:p w14:paraId="0051A91C">
      <w:pPr>
        <w:numPr>
          <w:ilvl w:val="2"/>
          <w:numId w:val="7"/>
        </w:numPr>
        <w:spacing w:line="360" w:lineRule="auto"/>
        <w:ind w:left="1701" w:hanging="708"/>
        <w:rPr>
          <w:rFonts w:eastAsia="楷体_GB2312"/>
          <w:color w:val="000000"/>
          <w:sz w:val="24"/>
        </w:rPr>
      </w:pPr>
      <w:r>
        <w:rPr>
          <w:rFonts w:eastAsia="楷体_GB2312"/>
          <w:color w:val="000000"/>
          <w:sz w:val="24"/>
        </w:rPr>
        <w:t>“贷款”的产生均符合相关</w:t>
      </w:r>
      <w:r>
        <w:rPr>
          <w:rFonts w:eastAsia="楷体_GB2312"/>
          <w:bCs/>
          <w:color w:val="000000"/>
          <w:sz w:val="24"/>
        </w:rPr>
        <w:t>“</w:t>
      </w:r>
      <w:r>
        <w:rPr>
          <w:rFonts w:eastAsia="楷体_GB2312"/>
          <w:color w:val="000000"/>
          <w:sz w:val="24"/>
        </w:rPr>
        <w:t>中国”“法律”的各项要求；</w:t>
      </w:r>
    </w:p>
    <w:p w14:paraId="57D14195">
      <w:pPr>
        <w:numPr>
          <w:ilvl w:val="2"/>
          <w:numId w:val="7"/>
        </w:numPr>
        <w:spacing w:line="360" w:lineRule="auto"/>
        <w:ind w:left="1701" w:hanging="708"/>
        <w:rPr>
          <w:rFonts w:eastAsia="楷体_GB2312"/>
          <w:color w:val="000000"/>
          <w:sz w:val="24"/>
        </w:rPr>
      </w:pPr>
      <w:r>
        <w:rPr>
          <w:rFonts w:eastAsia="楷体_GB2312"/>
          <w:sz w:val="24"/>
        </w:rPr>
        <w:t>“委托人”对每笔“资产”享有的权利并非是无效的或已被撤销、宣布无效或被</w:t>
      </w:r>
      <w:r>
        <w:rPr>
          <w:rFonts w:eastAsia="楷体_GB2312"/>
          <w:color w:val="000000"/>
          <w:sz w:val="24"/>
        </w:rPr>
        <w:t>废止</w:t>
      </w:r>
      <w:r>
        <w:rPr>
          <w:rFonts w:eastAsia="楷体_GB2312"/>
          <w:sz w:val="24"/>
        </w:rPr>
        <w:t>，亦不能被撤销、宣布无效或被废止；</w:t>
      </w:r>
    </w:p>
    <w:p w14:paraId="11CDC3A1">
      <w:pPr>
        <w:numPr>
          <w:ilvl w:val="2"/>
          <w:numId w:val="7"/>
        </w:numPr>
        <w:spacing w:line="360" w:lineRule="auto"/>
        <w:ind w:left="1701" w:hanging="708"/>
        <w:rPr>
          <w:rFonts w:eastAsia="楷体_GB2312"/>
          <w:color w:val="000000"/>
          <w:sz w:val="24"/>
        </w:rPr>
      </w:pPr>
      <w:r>
        <w:rPr>
          <w:rFonts w:eastAsia="楷体_GB2312"/>
          <w:color w:val="000000"/>
          <w:sz w:val="24"/>
        </w:rPr>
        <w:t>每笔“贷款”都能够并将始终能够与“委托人”未信托给“受托人”的其他债权或资产相分离；</w:t>
      </w:r>
    </w:p>
    <w:p w14:paraId="1DD6B8D4">
      <w:pPr>
        <w:numPr>
          <w:ilvl w:val="2"/>
          <w:numId w:val="7"/>
        </w:numPr>
        <w:spacing w:line="360" w:lineRule="auto"/>
        <w:ind w:left="1701" w:hanging="708"/>
        <w:rPr>
          <w:rFonts w:eastAsia="楷体_GB2312"/>
          <w:color w:val="FF0000"/>
          <w:sz w:val="24"/>
        </w:rPr>
      </w:pPr>
      <w:r>
        <w:rPr>
          <w:rFonts w:eastAsia="楷体_GB2312"/>
          <w:b/>
          <w:bCs/>
          <w:i/>
          <w:iCs/>
          <w:color w:val="FF0000"/>
          <w:sz w:val="24"/>
        </w:rPr>
        <w:t>【仅适用于“信用卡债权”】</w:t>
      </w:r>
      <w:r>
        <w:rPr>
          <w:rFonts w:eastAsia="楷体_GB2312"/>
          <w:color w:val="000000"/>
          <w:sz w:val="24"/>
        </w:rPr>
        <w:t>自“初始起算日”起至“借款人”偿还完其“信用卡账户”项下的“信用卡债权”对应债务之时，“委托人”保证该“信用卡账户”处于停卡状态</w:t>
      </w:r>
      <w:r>
        <w:rPr>
          <w:rFonts w:eastAsia="楷体_GB2312"/>
          <w:sz w:val="24"/>
        </w:rPr>
        <w:t>。</w:t>
      </w:r>
    </w:p>
    <w:p w14:paraId="517D5F7A">
      <w:pPr>
        <w:numPr>
          <w:ilvl w:val="1"/>
          <w:numId w:val="7"/>
        </w:numPr>
        <w:spacing w:line="360" w:lineRule="auto"/>
        <w:rPr>
          <w:rFonts w:eastAsia="楷体_GB2312"/>
        </w:rPr>
      </w:pPr>
      <w:bookmarkStart w:id="337" w:name="_Ref449359452"/>
      <w:r>
        <w:rPr>
          <w:rFonts w:eastAsia="楷体_GB2312"/>
          <w:b/>
          <w:color w:val="000000"/>
          <w:sz w:val="24"/>
        </w:rPr>
        <w:t>委托人关于资产池的风险揭示</w:t>
      </w:r>
      <w:bookmarkEnd w:id="337"/>
    </w:p>
    <w:p w14:paraId="51C4A994">
      <w:pPr>
        <w:spacing w:line="360" w:lineRule="auto"/>
        <w:ind w:left="992"/>
        <w:rPr>
          <w:rFonts w:eastAsia="楷体_GB2312"/>
          <w:b/>
          <w:bCs/>
          <w:i/>
          <w:iCs/>
          <w:color w:val="FF0000"/>
          <w:sz w:val="24"/>
        </w:rPr>
      </w:pPr>
      <w:r>
        <w:rPr>
          <w:rFonts w:eastAsia="楷体_GB2312"/>
          <w:b/>
          <w:bCs/>
          <w:i/>
          <w:iCs/>
          <w:color w:val="FF0000"/>
          <w:sz w:val="24"/>
        </w:rPr>
        <w:t>【注：风险揭示的具体内容可根据项目情况进行调整。】</w:t>
      </w:r>
    </w:p>
    <w:p w14:paraId="00AA7FF1">
      <w:pPr>
        <w:spacing w:line="360" w:lineRule="auto"/>
        <w:ind w:left="992"/>
        <w:rPr>
          <w:rFonts w:eastAsia="楷体_GB2312"/>
        </w:rPr>
      </w:pPr>
      <w:r>
        <w:rPr>
          <w:rFonts w:eastAsia="楷体_GB2312"/>
          <w:color w:val="000000"/>
          <w:sz w:val="24"/>
        </w:rPr>
        <w:t>“委托人”为“受托人”的利益（代表“资产支持证券持有人”</w:t>
      </w:r>
      <w:r>
        <w:rPr>
          <w:rFonts w:eastAsia="楷体_GB2312"/>
          <w:sz w:val="24"/>
        </w:rPr>
        <w:t>的利益</w:t>
      </w:r>
      <w:r>
        <w:rPr>
          <w:rFonts w:eastAsia="楷体_GB2312"/>
          <w:color w:val="000000"/>
          <w:sz w:val="24"/>
        </w:rPr>
        <w:t>）特此就“资产”可能涉及的各项风险向“受托人”（代表“资产支持证券持有人”</w:t>
      </w:r>
      <w:r>
        <w:rPr>
          <w:rFonts w:eastAsia="楷体_GB2312"/>
          <w:sz w:val="24"/>
        </w:rPr>
        <w:t>的利益</w:t>
      </w:r>
      <w:r>
        <w:rPr>
          <w:rFonts w:eastAsia="楷体_GB2312"/>
          <w:color w:val="000000"/>
          <w:sz w:val="24"/>
        </w:rPr>
        <w:t>）作出如下揭示：</w:t>
      </w:r>
    </w:p>
    <w:p w14:paraId="27FAE69E">
      <w:pPr>
        <w:numPr>
          <w:ilvl w:val="2"/>
          <w:numId w:val="7"/>
        </w:numPr>
        <w:spacing w:line="360" w:lineRule="auto"/>
        <w:ind w:left="1701" w:hanging="708"/>
        <w:rPr>
          <w:rFonts w:eastAsia="楷体_GB2312"/>
          <w:color w:val="000000"/>
          <w:sz w:val="24"/>
        </w:rPr>
      </w:pPr>
      <w:r>
        <w:rPr>
          <w:rFonts w:eastAsia="楷体_GB2312"/>
          <w:color w:val="000000"/>
          <w:sz w:val="24"/>
        </w:rPr>
        <w:t>“委托人”在此明确指出，本合同项下的“资产”存在着部分或全部不能回收的风险特性以及清收的困难性。</w:t>
      </w:r>
    </w:p>
    <w:p w14:paraId="5F6DF95D">
      <w:pPr>
        <w:numPr>
          <w:ilvl w:val="2"/>
          <w:numId w:val="7"/>
        </w:numPr>
        <w:spacing w:line="360" w:lineRule="auto"/>
        <w:ind w:left="1701" w:hanging="708"/>
        <w:rPr>
          <w:rFonts w:eastAsia="楷体_GB2312"/>
          <w:color w:val="000000"/>
          <w:sz w:val="24"/>
        </w:rPr>
      </w:pPr>
      <w:r>
        <w:rPr>
          <w:rFonts w:eastAsia="楷体_GB2312"/>
          <w:color w:val="000000"/>
          <w:sz w:val="24"/>
        </w:rPr>
        <w:t>“受托人”已被告知并完全理解，“受托人”受让“资产”后，对该“资产”在“初始起算日”</w:t>
      </w:r>
      <w:r>
        <w:rPr>
          <w:rFonts w:eastAsia="楷体_GB2312"/>
          <w:sz w:val="24"/>
        </w:rPr>
        <w:t>（</w:t>
      </w:r>
      <w:r>
        <w:rPr>
          <w:rFonts w:eastAsia="楷体_GB2312"/>
          <w:color w:val="000000"/>
          <w:sz w:val="24"/>
        </w:rPr>
        <w:t>【含/不含】该日）以后产生的利息、罚息、复息、费用、违约金及其它款项的请求权，人民法院可能不支持或不完全支持该等权利主张。</w:t>
      </w:r>
    </w:p>
    <w:p w14:paraId="19045272">
      <w:pPr>
        <w:numPr>
          <w:ilvl w:val="2"/>
          <w:numId w:val="7"/>
        </w:numPr>
        <w:spacing w:line="360" w:lineRule="auto"/>
        <w:ind w:left="1701" w:hanging="708"/>
        <w:rPr>
          <w:rFonts w:eastAsia="楷体_GB2312"/>
        </w:rPr>
      </w:pPr>
      <w:r>
        <w:rPr>
          <w:rFonts w:eastAsia="楷体_GB2312"/>
          <w:color w:val="000000"/>
          <w:sz w:val="24"/>
        </w:rPr>
        <w:t>“受托人”已被告知并完全理解，除本合同另有约定外，“受托人”在从“委托人”处受让“资产”后不得向“委托人”追究任何法律责任。</w:t>
      </w:r>
    </w:p>
    <w:p w14:paraId="55DB9F8D">
      <w:pPr>
        <w:numPr>
          <w:ilvl w:val="2"/>
          <w:numId w:val="7"/>
        </w:numPr>
        <w:spacing w:line="360" w:lineRule="auto"/>
        <w:ind w:left="1701" w:hanging="708"/>
        <w:rPr>
          <w:rFonts w:eastAsia="楷体_GB2312"/>
        </w:rPr>
      </w:pPr>
      <w:r>
        <w:rPr>
          <w:rFonts w:eastAsia="楷体_GB2312"/>
          <w:color w:val="000000"/>
          <w:sz w:val="24"/>
        </w:rPr>
        <w:t>“受托人”已被告知并完全理解，“委托人”转让给“受托人”的“资产”，可能存在瑕疵或尚未发现的重大缺陷，以至于“受益人”预期利益（包括本金以及预期收益）无法实现。“受托人”受让的“资产”可能存在的瑕疵或重大缺陷包括但不限于下列一项或多项：</w:t>
      </w:r>
    </w:p>
    <w:p w14:paraId="6584D0A4">
      <w:pPr>
        <w:pStyle w:val="142"/>
        <w:widowControl w:val="0"/>
        <w:numPr>
          <w:ilvl w:val="0"/>
          <w:numId w:val="14"/>
        </w:numPr>
        <w:spacing w:line="360" w:lineRule="auto"/>
        <w:ind w:left="2127" w:hanging="426" w:firstLineChars="0"/>
        <w:jc w:val="both"/>
        <w:rPr>
          <w:rFonts w:eastAsia="楷体_GB2312"/>
          <w:color w:val="000000"/>
          <w:lang w:eastAsia="zh-CN"/>
        </w:rPr>
      </w:pPr>
      <w:r>
        <w:rPr>
          <w:rFonts w:eastAsia="楷体_GB2312"/>
          <w:color w:val="000000"/>
          <w:lang w:eastAsia="zh-CN"/>
        </w:rPr>
        <w:t>与“资产”相关的“义务人”为自然人的，可能存在死亡（含被宣告死亡）、下落不明（含被宣告失踪）、丧失民事行为能力、刑事犯罪、重病等情形；如为法人或其他组织，可能存在刑事犯罪、破产、被解散、被注销、被撤销、被关闭、被吊销、歇业以及其他主体存续性瑕疵的情形；</w:t>
      </w:r>
    </w:p>
    <w:p w14:paraId="33451D6A">
      <w:pPr>
        <w:pStyle w:val="142"/>
        <w:widowControl w:val="0"/>
        <w:numPr>
          <w:ilvl w:val="0"/>
          <w:numId w:val="14"/>
        </w:numPr>
        <w:spacing w:line="360" w:lineRule="auto"/>
        <w:ind w:left="2127" w:hanging="426" w:firstLineChars="0"/>
        <w:jc w:val="both"/>
        <w:rPr>
          <w:rFonts w:eastAsia="楷体_GB2312"/>
          <w:color w:val="000000"/>
        </w:rPr>
      </w:pPr>
      <w:r>
        <w:rPr>
          <w:rFonts w:eastAsia="楷体_GB2312"/>
          <w:color w:val="000000"/>
          <w:lang w:eastAsia="zh-CN"/>
        </w:rPr>
        <w:t>“资产”的“附属权益”（如有）可能因相关转移</w:t>
      </w:r>
      <w:r>
        <w:rPr>
          <w:rFonts w:eastAsia="楷体_GB2312"/>
          <w:snapToGrid w:val="0"/>
          <w:color w:val="000000"/>
          <w:kern w:val="28"/>
          <w:szCs w:val="20"/>
          <w:lang w:eastAsia="zh-CN"/>
        </w:rPr>
        <w:t>/变更</w:t>
      </w:r>
      <w:r>
        <w:rPr>
          <w:rFonts w:eastAsia="楷体_GB2312"/>
          <w:color w:val="000000"/>
          <w:lang w:eastAsia="zh-CN"/>
        </w:rPr>
        <w:t>手续的无法办理而导致丧失、不能对抗善意第三人的风险；</w:t>
      </w:r>
    </w:p>
    <w:p w14:paraId="7D862C51">
      <w:pPr>
        <w:pStyle w:val="142"/>
        <w:widowControl w:val="0"/>
        <w:numPr>
          <w:ilvl w:val="0"/>
          <w:numId w:val="14"/>
        </w:numPr>
        <w:spacing w:line="360" w:lineRule="auto"/>
        <w:ind w:left="2127" w:hanging="426" w:firstLineChars="0"/>
        <w:jc w:val="both"/>
        <w:rPr>
          <w:rFonts w:eastAsia="楷体_GB2312"/>
          <w:color w:val="000000"/>
          <w:lang w:eastAsia="zh-CN"/>
        </w:rPr>
      </w:pPr>
      <w:r>
        <w:rPr>
          <w:rFonts w:eastAsia="楷体_GB2312"/>
          <w:color w:val="000000"/>
          <w:lang w:eastAsia="zh-CN"/>
        </w:rPr>
        <w:t>“资产”文件可能存在缺失、内容冲突等相关情形；</w:t>
      </w:r>
    </w:p>
    <w:p w14:paraId="1F5F2433">
      <w:pPr>
        <w:pStyle w:val="142"/>
        <w:widowControl w:val="0"/>
        <w:numPr>
          <w:ilvl w:val="0"/>
          <w:numId w:val="14"/>
        </w:numPr>
        <w:spacing w:line="360" w:lineRule="auto"/>
        <w:ind w:left="2127" w:hanging="426" w:firstLineChars="0"/>
        <w:jc w:val="both"/>
        <w:rPr>
          <w:rFonts w:eastAsia="楷体_GB2312"/>
          <w:color w:val="000000"/>
        </w:rPr>
      </w:pPr>
      <w:r>
        <w:rPr>
          <w:rFonts w:eastAsia="楷体_GB2312"/>
          <w:color w:val="000000"/>
          <w:lang w:eastAsia="zh-CN"/>
        </w:rPr>
        <w:t>“抵押资产”、“质物”、“抵债资产”（如有）可能发生灭失、毁损或可能存在欠缴税费、不能办理权属转移/变更或无法办理完成担保转移</w:t>
      </w:r>
      <w:r>
        <w:rPr>
          <w:rFonts w:eastAsia="楷体_GB2312"/>
          <w:snapToGrid w:val="0"/>
          <w:color w:val="000000"/>
          <w:kern w:val="28"/>
          <w:szCs w:val="20"/>
          <w:lang w:eastAsia="zh-CN"/>
        </w:rPr>
        <w:t>/变更</w:t>
      </w:r>
      <w:r>
        <w:rPr>
          <w:rFonts w:eastAsia="楷体_GB2312"/>
          <w:color w:val="000000"/>
          <w:lang w:eastAsia="zh-CN"/>
        </w:rPr>
        <w:t>登记、不能实际占有、丧失使用价值、处置困难或其他减损“抵押资产”、“质物”、“抵债资产”价值的相关情形；</w:t>
      </w:r>
    </w:p>
    <w:p w14:paraId="1FFC8D46">
      <w:pPr>
        <w:pStyle w:val="142"/>
        <w:widowControl w:val="0"/>
        <w:numPr>
          <w:ilvl w:val="0"/>
          <w:numId w:val="14"/>
        </w:numPr>
        <w:spacing w:line="360" w:lineRule="auto"/>
        <w:ind w:left="2127" w:hanging="426" w:firstLineChars="0"/>
        <w:jc w:val="both"/>
        <w:rPr>
          <w:rFonts w:eastAsia="楷体_GB2312"/>
        </w:rPr>
      </w:pPr>
      <w:r>
        <w:rPr>
          <w:rFonts w:eastAsia="楷体_GB2312"/>
          <w:color w:val="000000"/>
          <w:lang w:eastAsia="zh-CN"/>
        </w:rPr>
        <w:t>涉诉“资产”可能存在败诉、不能变更诉讼主体、执行主体等诉讼风险</w:t>
      </w:r>
      <w:r>
        <w:rPr>
          <w:rFonts w:eastAsia="楷体_GB2312"/>
          <w:lang w:eastAsia="zh-CN"/>
        </w:rPr>
        <w:t>。</w:t>
      </w:r>
    </w:p>
    <w:p w14:paraId="36C47A9E">
      <w:pPr>
        <w:numPr>
          <w:ilvl w:val="2"/>
          <w:numId w:val="7"/>
        </w:numPr>
        <w:spacing w:line="360" w:lineRule="auto"/>
        <w:ind w:left="1701" w:hanging="708"/>
        <w:rPr>
          <w:rFonts w:eastAsia="楷体_GB2312"/>
          <w:color w:val="000000"/>
          <w:sz w:val="24"/>
        </w:rPr>
      </w:pPr>
      <w:r>
        <w:rPr>
          <w:rFonts w:eastAsia="楷体_GB2312"/>
          <w:color w:val="000000"/>
          <w:sz w:val="24"/>
        </w:rPr>
        <w:t>“受托人”（代表“资产支持证券持有人”）已被告知、仔细阅读本合同及其附件揭示的风险，由上述风险造成的一切损失以及不能获得相应预期利益的后果由“信</w:t>
      </w:r>
      <w:r>
        <w:rPr>
          <w:rFonts w:eastAsia="楷体_GB2312"/>
          <w:color w:val="000000" w:themeColor="text1"/>
          <w:sz w:val="24"/>
          <w14:textFill>
            <w14:solidFill>
              <w14:schemeClr w14:val="tx1"/>
            </w14:solidFill>
          </w14:textFill>
        </w:rPr>
        <w:t>托财产”承担</w:t>
      </w:r>
      <w:r>
        <w:rPr>
          <w:rFonts w:eastAsia="楷体_GB2312"/>
          <w:color w:val="000000"/>
          <w:sz w:val="24"/>
        </w:rPr>
        <w:t>。</w:t>
      </w:r>
    </w:p>
    <w:p w14:paraId="2AA0BE1D">
      <w:pPr>
        <w:numPr>
          <w:ilvl w:val="0"/>
          <w:numId w:val="7"/>
        </w:numPr>
        <w:spacing w:line="360" w:lineRule="auto"/>
        <w:outlineLvl w:val="0"/>
        <w:rPr>
          <w:rFonts w:eastAsia="楷体_GB2312"/>
          <w:color w:val="000000"/>
          <w:sz w:val="24"/>
        </w:rPr>
      </w:pPr>
      <w:bookmarkStart w:id="338" w:name="_Toc446599333"/>
      <w:bookmarkEnd w:id="338"/>
      <w:bookmarkStart w:id="339" w:name="_Toc446599332"/>
      <w:bookmarkEnd w:id="339"/>
      <w:bookmarkStart w:id="340" w:name="_Toc219654262"/>
      <w:bookmarkEnd w:id="340"/>
      <w:bookmarkStart w:id="341" w:name="_Toc446599331"/>
      <w:bookmarkEnd w:id="341"/>
      <w:bookmarkStart w:id="342" w:name="_Toc219654333"/>
      <w:bookmarkEnd w:id="342"/>
      <w:bookmarkStart w:id="343" w:name="_Toc225538155"/>
      <w:bookmarkStart w:id="344" w:name="_Toc219710674"/>
      <w:r>
        <w:rPr>
          <w:rFonts w:eastAsia="楷体_GB2312"/>
          <w:b/>
          <w:color w:val="000000"/>
          <w:sz w:val="24"/>
        </w:rPr>
        <w:t>受托人的权利和义务、陈述和保证</w:t>
      </w:r>
      <w:bookmarkEnd w:id="343"/>
      <w:bookmarkEnd w:id="344"/>
    </w:p>
    <w:p w14:paraId="73AA39A5">
      <w:pPr>
        <w:spacing w:line="360" w:lineRule="auto"/>
        <w:ind w:firstLine="420"/>
        <w:rPr>
          <w:rFonts w:eastAsia="楷体_GB2312"/>
          <w:b/>
          <w:bCs/>
          <w:i/>
          <w:iCs/>
          <w:color w:val="FF0000"/>
          <w:sz w:val="24"/>
        </w:rPr>
      </w:pPr>
      <w:bookmarkStart w:id="345" w:name="_Ref152778009"/>
      <w:r>
        <w:rPr>
          <w:rFonts w:eastAsia="楷体_GB2312"/>
          <w:b/>
          <w:bCs/>
          <w:i/>
          <w:iCs/>
          <w:color w:val="FF0000"/>
          <w:sz w:val="24"/>
        </w:rPr>
        <w:t>【注：受托人的权利、义务条款可根据项目具体情况进行补充或调整。】</w:t>
      </w:r>
    </w:p>
    <w:p w14:paraId="64726A59">
      <w:pPr>
        <w:numPr>
          <w:ilvl w:val="1"/>
          <w:numId w:val="7"/>
        </w:numPr>
        <w:spacing w:line="360" w:lineRule="auto"/>
        <w:rPr>
          <w:rFonts w:eastAsia="楷体_GB2312"/>
          <w:color w:val="000000"/>
          <w:sz w:val="24"/>
        </w:rPr>
      </w:pPr>
      <w:r>
        <w:rPr>
          <w:rFonts w:eastAsia="楷体_GB2312"/>
          <w:b/>
          <w:color w:val="000000"/>
          <w:sz w:val="24"/>
        </w:rPr>
        <w:t>受托人的权利</w:t>
      </w:r>
      <w:bookmarkEnd w:id="345"/>
    </w:p>
    <w:p w14:paraId="1466B878">
      <w:pPr>
        <w:spacing w:line="360" w:lineRule="auto"/>
        <w:ind w:left="992"/>
        <w:rPr>
          <w:rFonts w:eastAsia="楷体_GB2312"/>
          <w:color w:val="000000"/>
          <w:sz w:val="24"/>
        </w:rPr>
      </w:pPr>
      <w:r>
        <w:rPr>
          <w:rFonts w:eastAsia="楷体_GB2312"/>
          <w:color w:val="000000"/>
          <w:sz w:val="24"/>
        </w:rPr>
        <w:t>“受托人”享有如下权利：</w:t>
      </w:r>
    </w:p>
    <w:p w14:paraId="43BF88CB">
      <w:pPr>
        <w:numPr>
          <w:ilvl w:val="0"/>
          <w:numId w:val="15"/>
        </w:numPr>
        <w:spacing w:line="360" w:lineRule="auto"/>
        <w:rPr>
          <w:rFonts w:eastAsia="楷体_GB2312"/>
          <w:color w:val="000000"/>
          <w:sz w:val="24"/>
        </w:rPr>
      </w:pPr>
      <w:r>
        <w:rPr>
          <w:rFonts w:eastAsia="楷体_GB2312"/>
          <w:color w:val="000000"/>
          <w:sz w:val="24"/>
        </w:rPr>
        <w:t>“受托人”有权发行“资产支持证券”。</w:t>
      </w:r>
    </w:p>
    <w:p w14:paraId="25EFAC3D">
      <w:pPr>
        <w:numPr>
          <w:ilvl w:val="0"/>
          <w:numId w:val="15"/>
        </w:numPr>
        <w:spacing w:line="360" w:lineRule="auto"/>
        <w:rPr>
          <w:rFonts w:eastAsia="楷体_GB2312"/>
          <w:color w:val="000000"/>
          <w:sz w:val="24"/>
        </w:rPr>
      </w:pPr>
      <w:r>
        <w:rPr>
          <w:rFonts w:eastAsia="楷体_GB2312"/>
          <w:color w:val="000000"/>
          <w:sz w:val="24"/>
        </w:rPr>
        <w:t>“受托人”有权依据本合同的约定获得“受托人”服务报酬。</w:t>
      </w:r>
    </w:p>
    <w:p w14:paraId="76AF677D">
      <w:pPr>
        <w:numPr>
          <w:ilvl w:val="0"/>
          <w:numId w:val="15"/>
        </w:numPr>
        <w:spacing w:line="360" w:lineRule="auto"/>
        <w:rPr>
          <w:rFonts w:eastAsia="楷体_GB2312"/>
          <w:color w:val="000000"/>
          <w:sz w:val="24"/>
        </w:rPr>
      </w:pPr>
      <w:r>
        <w:rPr>
          <w:rFonts w:eastAsia="楷体_GB2312"/>
          <w:color w:val="000000"/>
          <w:sz w:val="24"/>
        </w:rPr>
        <w:t>“受托人”在其认为必要时（包括但不限于在任一“信托分配日”“受托人”发现“信托财产”无法支付当个“支付日”应支付的“税费”时），有权提议召开“资产支持证券持有人大会”，对涉及信托事务的重大事项进行表决并按照表决结果处理信托事务。</w:t>
      </w:r>
    </w:p>
    <w:p w14:paraId="4222239E">
      <w:pPr>
        <w:numPr>
          <w:ilvl w:val="0"/>
          <w:numId w:val="15"/>
        </w:numPr>
        <w:spacing w:line="360" w:lineRule="auto"/>
        <w:rPr>
          <w:rFonts w:eastAsia="楷体_GB2312"/>
          <w:color w:val="000000"/>
          <w:sz w:val="24"/>
        </w:rPr>
      </w:pPr>
      <w:r>
        <w:rPr>
          <w:rFonts w:eastAsia="楷体_GB2312"/>
          <w:color w:val="000000"/>
          <w:sz w:val="24"/>
        </w:rPr>
        <w:t>“受托人”依据本合同约定的方式，有权管理、运用、处分本合同约定的“信托财产”。</w:t>
      </w:r>
    </w:p>
    <w:p w14:paraId="32BD2BF5">
      <w:pPr>
        <w:numPr>
          <w:ilvl w:val="0"/>
          <w:numId w:val="15"/>
        </w:numPr>
        <w:spacing w:line="360" w:lineRule="auto"/>
        <w:rPr>
          <w:rFonts w:eastAsia="楷体_GB2312"/>
          <w:color w:val="000000"/>
          <w:sz w:val="24"/>
        </w:rPr>
      </w:pPr>
      <w:r>
        <w:rPr>
          <w:rFonts w:eastAsia="楷体_GB2312"/>
          <w:color w:val="000000"/>
          <w:sz w:val="24"/>
        </w:rPr>
        <w:t>“受托人”在有利于“信托”目的实现的前提下，有权根据本合同的约定委托“贷款服务机构”、“资金保管机构”、“评级机构”（仅限评级事务）、“审计师”等机构代为处理相关的“信托”事务。</w:t>
      </w:r>
    </w:p>
    <w:p w14:paraId="1E4C1B64">
      <w:pPr>
        <w:numPr>
          <w:ilvl w:val="0"/>
          <w:numId w:val="15"/>
        </w:numPr>
        <w:spacing w:line="360" w:lineRule="auto"/>
        <w:rPr>
          <w:rFonts w:eastAsia="楷体_GB2312"/>
          <w:color w:val="000000"/>
          <w:sz w:val="24"/>
        </w:rPr>
      </w:pPr>
      <w:r>
        <w:rPr>
          <w:rFonts w:eastAsia="楷体_GB2312"/>
          <w:color w:val="000000"/>
          <w:sz w:val="24"/>
        </w:rPr>
        <w:t>“受托人”有权根据“交易文件”的约定聘请“评估机构”对“信托财产”价值进行评估或分析，由此产生的评估费用由“信托财产”承担。</w:t>
      </w:r>
    </w:p>
    <w:p w14:paraId="68C38672">
      <w:pPr>
        <w:spacing w:line="360" w:lineRule="auto"/>
        <w:ind w:left="1378"/>
        <w:rPr>
          <w:rFonts w:eastAsia="楷体_GB2312"/>
          <w:b/>
          <w:bCs/>
          <w:color w:val="000000"/>
          <w:sz w:val="24"/>
        </w:rPr>
      </w:pPr>
      <w:r>
        <w:rPr>
          <w:rFonts w:eastAsia="楷体_GB2312"/>
          <w:b/>
          <w:bCs/>
          <w:i/>
          <w:iCs/>
          <w:color w:val="FF0000"/>
          <w:sz w:val="24"/>
        </w:rPr>
        <w:t>【注：本项适用于基础资产涉及评估的情形，可根据项目的基础资产进行调整。】</w:t>
      </w:r>
    </w:p>
    <w:p w14:paraId="3009A951">
      <w:pPr>
        <w:numPr>
          <w:ilvl w:val="0"/>
          <w:numId w:val="15"/>
        </w:numPr>
        <w:spacing w:line="360" w:lineRule="auto"/>
        <w:rPr>
          <w:rFonts w:eastAsia="楷体_GB2312"/>
          <w:color w:val="000000"/>
          <w:sz w:val="24"/>
        </w:rPr>
      </w:pPr>
      <w:r>
        <w:rPr>
          <w:rFonts w:eastAsia="楷体_GB2312"/>
          <w:color w:val="000000"/>
          <w:sz w:val="24"/>
        </w:rPr>
        <w:t>“受托人”有权根据本合同的约定委托“登记托管机构”和“支付代理机构”提供“资产支持证券”的登记托管和本息兑付服务。</w:t>
      </w:r>
    </w:p>
    <w:p w14:paraId="7DB16376">
      <w:pPr>
        <w:numPr>
          <w:ilvl w:val="0"/>
          <w:numId w:val="15"/>
        </w:numPr>
        <w:spacing w:line="360" w:lineRule="auto"/>
        <w:rPr>
          <w:rFonts w:eastAsia="楷体_GB2312"/>
          <w:color w:val="000000"/>
          <w:sz w:val="24"/>
        </w:rPr>
      </w:pPr>
      <w:r>
        <w:rPr>
          <w:rFonts w:eastAsia="楷体_GB2312"/>
          <w:color w:val="000000"/>
          <w:sz w:val="24"/>
        </w:rPr>
        <w:t>“受托人”有权享有</w:t>
      </w:r>
      <w:r>
        <w:rPr>
          <w:rFonts w:eastAsia="楷体_GB2312"/>
          <w:bCs/>
          <w:color w:val="000000"/>
          <w:sz w:val="24"/>
        </w:rPr>
        <w:t>“</w:t>
      </w:r>
      <w:r>
        <w:rPr>
          <w:rFonts w:eastAsia="楷体_GB2312"/>
          <w:color w:val="000000"/>
          <w:sz w:val="24"/>
        </w:rPr>
        <w:t>中国”“法律”和本合同约定的其他与“信托财产”相关的权利。</w:t>
      </w:r>
    </w:p>
    <w:p w14:paraId="19419A4F">
      <w:pPr>
        <w:numPr>
          <w:ilvl w:val="0"/>
          <w:numId w:val="15"/>
        </w:numPr>
        <w:spacing w:line="360" w:lineRule="auto"/>
        <w:rPr>
          <w:rFonts w:eastAsia="楷体_GB2312"/>
          <w:color w:val="000000"/>
          <w:sz w:val="24"/>
        </w:rPr>
      </w:pPr>
      <w:r>
        <w:rPr>
          <w:rFonts w:eastAsia="楷体_GB2312"/>
          <w:color w:val="000000"/>
          <w:sz w:val="24"/>
        </w:rPr>
        <w:t>“受托人”根据“中国”“法律”的规定和本合同的约定有权参与和了解“资产池”筛选、确定、证券化方案的制定等“信托”设立前期全部过程，有权获取相关资料和信息。</w:t>
      </w:r>
    </w:p>
    <w:p w14:paraId="04C986AB">
      <w:pPr>
        <w:numPr>
          <w:ilvl w:val="0"/>
          <w:numId w:val="15"/>
        </w:numPr>
        <w:spacing w:line="360" w:lineRule="auto"/>
        <w:rPr>
          <w:rFonts w:eastAsia="楷体_GB2312"/>
          <w:color w:val="000000"/>
          <w:sz w:val="24"/>
        </w:rPr>
      </w:pPr>
      <w:r>
        <w:rPr>
          <w:rFonts w:eastAsia="楷体_GB2312"/>
          <w:color w:val="000000"/>
          <w:sz w:val="24"/>
        </w:rPr>
        <w:t>“受托人”有权要求“贷款服务机构”、“资金保管机构”及其他相关机构提供关于“信托财产”的信息资料，用于但不限于“信托财产”的一般管理、会计处理及对外信息披露等。</w:t>
      </w:r>
    </w:p>
    <w:p w14:paraId="424009EA">
      <w:pPr>
        <w:numPr>
          <w:ilvl w:val="0"/>
          <w:numId w:val="15"/>
        </w:numPr>
        <w:spacing w:line="360" w:lineRule="auto"/>
        <w:rPr>
          <w:rFonts w:eastAsia="楷体_GB2312"/>
          <w:color w:val="000000"/>
          <w:sz w:val="24"/>
        </w:rPr>
      </w:pPr>
      <w:r>
        <w:rPr>
          <w:rFonts w:eastAsia="楷体_GB2312"/>
          <w:color w:val="000000"/>
          <w:sz w:val="24"/>
        </w:rPr>
        <w:t>“受托人”有权要求“贷款服务机构”、“资金保管机构”及其他相关机构配合“受托人”委任的“审计师”进行关于“信托财产”方面的审计工作。</w:t>
      </w:r>
    </w:p>
    <w:p w14:paraId="2DC92DE6">
      <w:pPr>
        <w:numPr>
          <w:ilvl w:val="0"/>
          <w:numId w:val="15"/>
        </w:numPr>
        <w:spacing w:line="360" w:lineRule="auto"/>
        <w:rPr>
          <w:rFonts w:eastAsia="楷体_GB2312"/>
          <w:color w:val="000000"/>
          <w:sz w:val="24"/>
        </w:rPr>
      </w:pPr>
      <w:r>
        <w:rPr>
          <w:rFonts w:eastAsia="楷体_GB2312"/>
          <w:color w:val="000000"/>
          <w:sz w:val="24"/>
        </w:rPr>
        <w:t>“受托人”有权要求“贷款服务机构”、“资金保管机构”及其他相关机构配合“受托人”委任的“评级机构”进行关于“优先级资产支持证券”的持续跟踪评级工作。</w:t>
      </w:r>
    </w:p>
    <w:p w14:paraId="19F2ACDE">
      <w:pPr>
        <w:numPr>
          <w:ilvl w:val="0"/>
          <w:numId w:val="15"/>
        </w:numPr>
        <w:spacing w:line="360" w:lineRule="auto"/>
      </w:pPr>
      <w:r>
        <w:rPr>
          <w:rFonts w:eastAsia="楷体_GB2312"/>
          <w:color w:val="000000"/>
          <w:sz w:val="24"/>
        </w:rPr>
        <w:t>“受托人”因处理信托事务所支出的费用、对第三人所负债务，以“信托财产”承担。“受托人”以其固有财产垫付的，就垫付的金额，按照本合同的约定由“信托财产”予以偿还。</w:t>
      </w:r>
    </w:p>
    <w:p w14:paraId="0DDE9219">
      <w:pPr>
        <w:numPr>
          <w:ilvl w:val="0"/>
          <w:numId w:val="15"/>
        </w:numPr>
        <w:spacing w:line="360" w:lineRule="auto"/>
        <w:rPr>
          <w:rFonts w:eastAsia="楷体_GB2312"/>
          <w:color w:val="000000"/>
          <w:sz w:val="24"/>
        </w:rPr>
      </w:pPr>
      <w:r>
        <w:rPr>
          <w:rFonts w:eastAsia="楷体_GB2312"/>
          <w:color w:val="000000"/>
          <w:sz w:val="24"/>
        </w:rPr>
        <w:t>“受托人”有权享有</w:t>
      </w:r>
      <w:r>
        <w:rPr>
          <w:rFonts w:eastAsia="楷体_GB2312"/>
          <w:bCs/>
          <w:color w:val="000000"/>
          <w:sz w:val="24"/>
        </w:rPr>
        <w:t>“</w:t>
      </w:r>
      <w:r>
        <w:rPr>
          <w:rFonts w:eastAsia="楷体_GB2312"/>
          <w:color w:val="000000"/>
          <w:sz w:val="24"/>
        </w:rPr>
        <w:t>中国”“法律”规定的和本合同约定的其他权利。</w:t>
      </w:r>
    </w:p>
    <w:p w14:paraId="2E978D91">
      <w:pPr>
        <w:numPr>
          <w:ilvl w:val="1"/>
          <w:numId w:val="7"/>
        </w:numPr>
        <w:spacing w:line="360" w:lineRule="auto"/>
        <w:rPr>
          <w:rFonts w:eastAsia="楷体_GB2312"/>
          <w:color w:val="000000"/>
          <w:sz w:val="24"/>
        </w:rPr>
      </w:pPr>
      <w:r>
        <w:rPr>
          <w:rFonts w:eastAsia="楷体_GB2312"/>
          <w:b/>
          <w:color w:val="000000"/>
          <w:sz w:val="24"/>
        </w:rPr>
        <w:t>受托人的义务</w:t>
      </w:r>
    </w:p>
    <w:p w14:paraId="071ECE45">
      <w:pPr>
        <w:spacing w:line="360" w:lineRule="auto"/>
        <w:ind w:left="992"/>
        <w:rPr>
          <w:rFonts w:eastAsia="楷体_GB2312"/>
          <w:color w:val="000000"/>
          <w:sz w:val="24"/>
        </w:rPr>
      </w:pPr>
      <w:r>
        <w:rPr>
          <w:rFonts w:eastAsia="楷体_GB2312"/>
          <w:color w:val="000000"/>
          <w:sz w:val="24"/>
        </w:rPr>
        <w:t>“受托人”负有如下义务：</w:t>
      </w:r>
    </w:p>
    <w:p w14:paraId="43DBD155">
      <w:pPr>
        <w:numPr>
          <w:ilvl w:val="0"/>
          <w:numId w:val="16"/>
        </w:numPr>
        <w:spacing w:line="360" w:lineRule="auto"/>
        <w:rPr>
          <w:rFonts w:eastAsia="楷体_GB2312"/>
          <w:color w:val="000000"/>
          <w:sz w:val="24"/>
        </w:rPr>
      </w:pPr>
      <w:r>
        <w:rPr>
          <w:rFonts w:eastAsia="楷体_GB2312"/>
          <w:color w:val="000000"/>
          <w:sz w:val="24"/>
        </w:rPr>
        <w:t>“受托人”应聘请“法律顾问”、 “会计顾问/税务顾问”、“评级机构”、“评估机构”（如有）等中介服务机构，对“资产池”以尽职调查和出具意见书等方式进行审核。</w:t>
      </w:r>
    </w:p>
    <w:p w14:paraId="62FA806B">
      <w:pPr>
        <w:numPr>
          <w:ilvl w:val="0"/>
          <w:numId w:val="16"/>
        </w:numPr>
        <w:spacing w:line="360" w:lineRule="auto"/>
        <w:rPr>
          <w:rFonts w:eastAsia="楷体_GB2312"/>
          <w:color w:val="000000"/>
          <w:sz w:val="24"/>
        </w:rPr>
      </w:pPr>
      <w:r>
        <w:rPr>
          <w:rFonts w:eastAsia="楷体_GB2312"/>
          <w:color w:val="000000"/>
          <w:sz w:val="24"/>
        </w:rPr>
        <w:t>“受托人”应按照本合同约定将“资产支持证券募集资金”支付给“委托人”。</w:t>
      </w:r>
    </w:p>
    <w:p w14:paraId="3F1D8135">
      <w:pPr>
        <w:numPr>
          <w:ilvl w:val="0"/>
          <w:numId w:val="16"/>
        </w:numPr>
        <w:spacing w:line="360" w:lineRule="auto"/>
        <w:rPr>
          <w:rFonts w:eastAsia="楷体_GB2312"/>
          <w:color w:val="000000"/>
          <w:sz w:val="24"/>
        </w:rPr>
      </w:pPr>
      <w:r>
        <w:rPr>
          <w:rFonts w:eastAsia="楷体_GB2312"/>
          <w:color w:val="000000"/>
          <w:sz w:val="24"/>
        </w:rPr>
        <w:t>“受托人”应根据有关规定，对“信托”进行会计核算和报告。</w:t>
      </w:r>
    </w:p>
    <w:p w14:paraId="69F29D27">
      <w:pPr>
        <w:numPr>
          <w:ilvl w:val="0"/>
          <w:numId w:val="16"/>
        </w:numPr>
        <w:spacing w:line="360" w:lineRule="auto"/>
        <w:rPr>
          <w:rFonts w:eastAsia="楷体_GB2312"/>
          <w:color w:val="000000"/>
          <w:sz w:val="24"/>
        </w:rPr>
      </w:pPr>
      <w:r>
        <w:rPr>
          <w:rFonts w:eastAsia="楷体_GB2312"/>
          <w:color w:val="000000"/>
          <w:sz w:val="24"/>
        </w:rPr>
        <w:t>“受托人”应聘请“评级机构”对“优先级资产支持证券”进行跟踪评级。</w:t>
      </w:r>
    </w:p>
    <w:p w14:paraId="1B83C546">
      <w:pPr>
        <w:numPr>
          <w:ilvl w:val="0"/>
          <w:numId w:val="16"/>
        </w:numPr>
        <w:spacing w:line="360" w:lineRule="auto"/>
        <w:rPr>
          <w:rFonts w:eastAsia="楷体_GB2312"/>
          <w:color w:val="000000"/>
          <w:sz w:val="24"/>
        </w:rPr>
      </w:pPr>
      <w:r>
        <w:rPr>
          <w:rFonts w:eastAsia="楷体_GB2312"/>
          <w:color w:val="000000"/>
          <w:sz w:val="24"/>
        </w:rPr>
        <w:t>“受托人”应委托有资质的商业银行担任“信托财产”“资金保管机构”，并依照本合同分别委托其他有业务资格的机构履行“资产池”管理等其他受托职责。</w:t>
      </w:r>
    </w:p>
    <w:p w14:paraId="2933DBAF">
      <w:pPr>
        <w:numPr>
          <w:ilvl w:val="0"/>
          <w:numId w:val="16"/>
        </w:numPr>
        <w:spacing w:line="360" w:lineRule="auto"/>
        <w:rPr>
          <w:rFonts w:eastAsia="楷体_GB2312"/>
          <w:color w:val="000000"/>
          <w:sz w:val="24"/>
        </w:rPr>
      </w:pPr>
      <w:r>
        <w:rPr>
          <w:rFonts w:eastAsia="楷体_GB2312"/>
          <w:color w:val="000000"/>
          <w:sz w:val="24"/>
        </w:rPr>
        <w:t>除本合同另有约定外，“受托人”应亲自处理信托事务，非经本合同约定或“资产支持证券持有人大会”的同意，不得变更本合同项下所确定的“贷款服务机构”、“资金保管机构”。</w:t>
      </w:r>
    </w:p>
    <w:p w14:paraId="457F8677">
      <w:pPr>
        <w:numPr>
          <w:ilvl w:val="0"/>
          <w:numId w:val="16"/>
        </w:numPr>
        <w:spacing w:line="360" w:lineRule="auto"/>
        <w:rPr>
          <w:rFonts w:eastAsia="楷体_GB2312"/>
          <w:color w:val="000000"/>
          <w:sz w:val="24"/>
        </w:rPr>
      </w:pPr>
      <w:r>
        <w:rPr>
          <w:rFonts w:eastAsia="楷体_GB2312"/>
          <w:color w:val="000000"/>
          <w:sz w:val="24"/>
        </w:rPr>
        <w:t>“受托人”从事信托活动，应当遵守</w:t>
      </w:r>
      <w:r>
        <w:rPr>
          <w:rFonts w:eastAsia="楷体_GB2312"/>
          <w:bCs/>
          <w:color w:val="000000"/>
          <w:sz w:val="24"/>
        </w:rPr>
        <w:t>“</w:t>
      </w:r>
      <w:r>
        <w:rPr>
          <w:rFonts w:eastAsia="楷体_GB2312"/>
          <w:color w:val="000000"/>
          <w:sz w:val="24"/>
        </w:rPr>
        <w:t>中国”“法律”和本合同的约定，不得损害国家利益、社会公众利益和他人的合法权益。</w:t>
      </w:r>
    </w:p>
    <w:p w14:paraId="48565E6B">
      <w:pPr>
        <w:numPr>
          <w:ilvl w:val="0"/>
          <w:numId w:val="16"/>
        </w:numPr>
        <w:spacing w:line="360" w:lineRule="auto"/>
        <w:rPr>
          <w:rFonts w:eastAsia="楷体_GB2312"/>
          <w:color w:val="000000"/>
          <w:sz w:val="24"/>
        </w:rPr>
      </w:pPr>
      <w:r>
        <w:rPr>
          <w:rFonts w:eastAsia="楷体_GB2312"/>
          <w:color w:val="000000"/>
          <w:sz w:val="24"/>
        </w:rPr>
        <w:t>“受托人”管理、处分“信托财产”所产生的债权，不得与“受托人”固有财产产生的债务相抵销；“受托人”管理、处分不同信托的“信托财产”所产生的债权债务，不得相互抵销。</w:t>
      </w:r>
    </w:p>
    <w:p w14:paraId="34710AE2">
      <w:pPr>
        <w:numPr>
          <w:ilvl w:val="0"/>
          <w:numId w:val="16"/>
        </w:numPr>
        <w:spacing w:line="360" w:lineRule="auto"/>
        <w:rPr>
          <w:rFonts w:eastAsia="楷体_GB2312"/>
          <w:color w:val="000000"/>
          <w:sz w:val="24"/>
        </w:rPr>
      </w:pPr>
      <w:r>
        <w:rPr>
          <w:rFonts w:eastAsia="楷体_GB2312"/>
          <w:color w:val="000000"/>
          <w:sz w:val="24"/>
        </w:rPr>
        <w:t>“受托人”在管理、处分“信托财产”时，不得违反“信托”目的或者违背管理职责。因“受托人”违背管理职责或处理信托事务不当，</w:t>
      </w:r>
      <w:r>
        <w:rPr>
          <w:rStyle w:val="41"/>
          <w:rFonts w:eastAsia="楷体_GB2312"/>
          <w:color w:val="000000"/>
          <w:w w:val="0"/>
          <w:sz w:val="24"/>
          <w:u w:val="none"/>
        </w:rPr>
        <w:t>导致“信托财产”损失的，“受托人”以其固有财产承担赔偿责任；因“受托人”违背管理职责或处理信托事务不当而</w:t>
      </w:r>
      <w:r>
        <w:rPr>
          <w:rFonts w:eastAsia="楷体_GB2312"/>
          <w:color w:val="000000"/>
          <w:sz w:val="24"/>
        </w:rPr>
        <w:t>对第三人所负债务应当以固有财产承担。</w:t>
      </w:r>
    </w:p>
    <w:p w14:paraId="6FBB5C09">
      <w:pPr>
        <w:numPr>
          <w:ilvl w:val="0"/>
          <w:numId w:val="16"/>
        </w:numPr>
        <w:spacing w:line="360" w:lineRule="auto"/>
        <w:rPr>
          <w:rFonts w:eastAsia="楷体_GB2312"/>
          <w:color w:val="000000"/>
          <w:sz w:val="24"/>
        </w:rPr>
      </w:pPr>
      <w:r>
        <w:rPr>
          <w:rFonts w:eastAsia="楷体_GB2312"/>
          <w:color w:val="000000"/>
          <w:sz w:val="24"/>
        </w:rPr>
        <w:t>“受托人”应当遵守本合同的约定，本着忠实于“受益人”最大利益的原则处理信托事务；“受托人”管理“信托财产”，必须恪尽职守，履行诚实、信用、谨慎管理的义务。</w:t>
      </w:r>
    </w:p>
    <w:p w14:paraId="01C6C09B">
      <w:pPr>
        <w:numPr>
          <w:ilvl w:val="0"/>
          <w:numId w:val="16"/>
        </w:numPr>
        <w:spacing w:line="360" w:lineRule="auto"/>
        <w:rPr>
          <w:rFonts w:eastAsia="楷体_GB2312"/>
          <w:color w:val="000000"/>
          <w:sz w:val="24"/>
        </w:rPr>
      </w:pPr>
      <w:r>
        <w:rPr>
          <w:rFonts w:eastAsia="楷体_GB2312"/>
          <w:color w:val="000000"/>
          <w:sz w:val="24"/>
        </w:rPr>
        <w:t>“受托人”不得将“信托财产”转为其固有财产；“受托人”将“信托财产”转为其固有财产的，必须恢复该“信托财产”的原状；造成“信托财产”损失的，应当承担赔偿责任。</w:t>
      </w:r>
    </w:p>
    <w:p w14:paraId="40D7AD2F">
      <w:pPr>
        <w:numPr>
          <w:ilvl w:val="0"/>
          <w:numId w:val="16"/>
        </w:numPr>
        <w:spacing w:line="360" w:lineRule="auto"/>
        <w:rPr>
          <w:rFonts w:eastAsia="楷体_GB2312"/>
          <w:color w:val="000000"/>
          <w:sz w:val="24"/>
        </w:rPr>
      </w:pPr>
      <w:r>
        <w:rPr>
          <w:rFonts w:eastAsia="楷体_GB2312"/>
          <w:color w:val="000000"/>
          <w:sz w:val="24"/>
        </w:rPr>
        <w:t>“受托人”除依照本合同的约定取得“受托人”服务报酬外，不得利用“信托财产”为自己谋取利益，“受托人”利用“信托财产”为自己谋取利益的，所得利益归入“信托财产”。</w:t>
      </w:r>
    </w:p>
    <w:p w14:paraId="2D1BCABB">
      <w:pPr>
        <w:numPr>
          <w:ilvl w:val="0"/>
          <w:numId w:val="16"/>
        </w:numPr>
        <w:spacing w:line="360" w:lineRule="auto"/>
        <w:rPr>
          <w:rFonts w:eastAsia="楷体_GB2312"/>
          <w:color w:val="000000"/>
          <w:sz w:val="24"/>
        </w:rPr>
      </w:pPr>
      <w:r>
        <w:rPr>
          <w:rFonts w:eastAsia="楷体_GB2312"/>
          <w:color w:val="000000"/>
          <w:sz w:val="24"/>
        </w:rPr>
        <w:t>“受托人”不得以“信托账户”、“信托财产”和/或相关“账户记录”提供任何形式的担保。</w:t>
      </w:r>
    </w:p>
    <w:p w14:paraId="1E3D2C92">
      <w:pPr>
        <w:numPr>
          <w:ilvl w:val="0"/>
          <w:numId w:val="16"/>
        </w:numPr>
        <w:spacing w:line="360" w:lineRule="auto"/>
        <w:rPr>
          <w:rFonts w:eastAsia="楷体_GB2312"/>
          <w:color w:val="000000"/>
        </w:rPr>
      </w:pPr>
      <w:r>
        <w:rPr>
          <w:rFonts w:eastAsia="楷体_GB2312"/>
          <w:color w:val="000000"/>
          <w:sz w:val="24"/>
        </w:rPr>
        <w:t>“受托人”应将“信托财产”与其固有财产分开管理，并将不同信托的财产分别记账，在任何时候都不得将“信托财产”与“受托人”的固有财产或其持有的其他财产或资产相混同。</w:t>
      </w:r>
    </w:p>
    <w:p w14:paraId="2BE39F34">
      <w:pPr>
        <w:numPr>
          <w:ilvl w:val="0"/>
          <w:numId w:val="16"/>
        </w:numPr>
        <w:spacing w:line="360" w:lineRule="auto"/>
        <w:rPr>
          <w:rFonts w:eastAsia="楷体_GB2312"/>
          <w:color w:val="000000"/>
          <w:sz w:val="24"/>
        </w:rPr>
      </w:pPr>
      <w:r>
        <w:rPr>
          <w:rFonts w:eastAsia="楷体_GB2312"/>
          <w:color w:val="000000"/>
          <w:sz w:val="24"/>
        </w:rPr>
        <w:t>“受托人”应妥为保存处理信托事务的完整记录，保存期限自“信托终止日”起不得少于十五年。</w:t>
      </w:r>
    </w:p>
    <w:p w14:paraId="565F5047">
      <w:pPr>
        <w:numPr>
          <w:ilvl w:val="0"/>
          <w:numId w:val="16"/>
        </w:numPr>
        <w:spacing w:line="360" w:lineRule="auto"/>
        <w:rPr>
          <w:rFonts w:eastAsia="楷体_GB2312"/>
          <w:color w:val="000000"/>
          <w:sz w:val="24"/>
        </w:rPr>
      </w:pPr>
      <w:r>
        <w:rPr>
          <w:rFonts w:eastAsia="楷体_GB2312"/>
          <w:color w:val="000000"/>
          <w:sz w:val="24"/>
        </w:rPr>
        <w:t>“受托人”应当按照</w:t>
      </w:r>
      <w:r>
        <w:rPr>
          <w:rFonts w:eastAsia="楷体_GB2312"/>
          <w:bCs/>
          <w:color w:val="000000"/>
          <w:sz w:val="24"/>
        </w:rPr>
        <w:t>“</w:t>
      </w:r>
      <w:r>
        <w:rPr>
          <w:rFonts w:eastAsia="楷体_GB2312"/>
          <w:color w:val="000000"/>
          <w:sz w:val="24"/>
        </w:rPr>
        <w:t>中国”“法律”的相关规定和本合同的约定持续披露有关“信托财产”和“资产支持证券”的信息；在“委托人”</w:t>
      </w:r>
      <w:r>
        <w:rPr>
          <w:rFonts w:hint="eastAsia" w:eastAsia="楷体_GB2312"/>
          <w:color w:val="000000"/>
          <w:sz w:val="24"/>
        </w:rPr>
        <w:t>依据</w:t>
      </w:r>
      <w:r>
        <w:rPr>
          <w:rFonts w:eastAsia="楷体_GB2312"/>
          <w:color w:val="000000"/>
          <w:sz w:val="24"/>
        </w:rPr>
        <w:t>本合同的约定向其了解“信托财产”的相关情况时，“受托人”应积极配合并及时做出相应的说明。</w:t>
      </w:r>
    </w:p>
    <w:p w14:paraId="21978B16">
      <w:pPr>
        <w:numPr>
          <w:ilvl w:val="0"/>
          <w:numId w:val="16"/>
        </w:numPr>
        <w:spacing w:line="360" w:lineRule="auto"/>
        <w:rPr>
          <w:rFonts w:eastAsia="楷体_GB2312"/>
          <w:color w:val="000000"/>
          <w:sz w:val="24"/>
        </w:rPr>
      </w:pPr>
      <w:r>
        <w:rPr>
          <w:rFonts w:eastAsia="楷体_GB2312"/>
          <w:color w:val="000000"/>
          <w:sz w:val="24"/>
        </w:rPr>
        <w:t>“受托人”应监督和督促其委托或聘请的“贷款服务机构”、“资金保管机构”及其他中介服务机构恪尽职守地履行其各自的职能和义务。</w:t>
      </w:r>
    </w:p>
    <w:p w14:paraId="4DBF95EC">
      <w:pPr>
        <w:numPr>
          <w:ilvl w:val="0"/>
          <w:numId w:val="16"/>
        </w:numPr>
        <w:spacing w:line="360" w:lineRule="auto"/>
        <w:rPr>
          <w:rFonts w:eastAsia="楷体_GB2312"/>
          <w:color w:val="000000"/>
          <w:sz w:val="24"/>
        </w:rPr>
      </w:pPr>
      <w:r>
        <w:rPr>
          <w:rFonts w:eastAsia="楷体_GB2312"/>
          <w:color w:val="000000"/>
          <w:sz w:val="24"/>
        </w:rPr>
        <w:t>如“受托人”职责终止，“受托人”应妥善保管与“信托”相关的全部资料，并及时向新的“受托人”办理移交手续。</w:t>
      </w:r>
    </w:p>
    <w:p w14:paraId="49E74AC9">
      <w:pPr>
        <w:numPr>
          <w:ilvl w:val="0"/>
          <w:numId w:val="16"/>
        </w:numPr>
        <w:spacing w:line="360" w:lineRule="auto"/>
        <w:rPr>
          <w:rFonts w:eastAsia="楷体_GB2312"/>
          <w:color w:val="000000"/>
          <w:sz w:val="24"/>
        </w:rPr>
      </w:pPr>
      <w:r>
        <w:rPr>
          <w:rFonts w:eastAsia="楷体_GB2312"/>
          <w:color w:val="000000"/>
          <w:sz w:val="24"/>
        </w:rPr>
        <w:t>所适用的</w:t>
      </w:r>
      <w:r>
        <w:rPr>
          <w:rFonts w:eastAsia="楷体_GB2312"/>
          <w:bCs/>
          <w:color w:val="000000"/>
          <w:sz w:val="24"/>
        </w:rPr>
        <w:t>“</w:t>
      </w:r>
      <w:r>
        <w:rPr>
          <w:rFonts w:eastAsia="楷体_GB2312"/>
          <w:color w:val="000000"/>
          <w:sz w:val="24"/>
        </w:rPr>
        <w:t>中国”“法律”规定的和本合同约定的其他义务。</w:t>
      </w:r>
    </w:p>
    <w:p w14:paraId="492CE8DF">
      <w:pPr>
        <w:numPr>
          <w:ilvl w:val="1"/>
          <w:numId w:val="7"/>
        </w:numPr>
        <w:spacing w:line="360" w:lineRule="auto"/>
        <w:rPr>
          <w:rFonts w:eastAsia="楷体_GB2312"/>
          <w:b/>
          <w:color w:val="000000"/>
          <w:sz w:val="24"/>
        </w:rPr>
      </w:pPr>
      <w:r>
        <w:rPr>
          <w:rFonts w:eastAsia="楷体_GB2312"/>
          <w:b/>
          <w:color w:val="000000"/>
          <w:sz w:val="24"/>
        </w:rPr>
        <w:t>受托人的陈述和保证</w:t>
      </w:r>
    </w:p>
    <w:p w14:paraId="5AEE8369">
      <w:pPr>
        <w:spacing w:line="360" w:lineRule="auto"/>
        <w:ind w:left="992"/>
        <w:rPr>
          <w:rFonts w:eastAsia="楷体_GB2312"/>
          <w:color w:val="000000"/>
          <w:sz w:val="24"/>
        </w:rPr>
      </w:pPr>
      <w:r>
        <w:rPr>
          <w:rFonts w:eastAsia="楷体_GB2312"/>
          <w:color w:val="000000"/>
          <w:sz w:val="24"/>
        </w:rPr>
        <w:t>在本合同签署之日以及“信托生效日”，“受托人”为本合同双方的利益陈述和保证如下：</w:t>
      </w:r>
    </w:p>
    <w:p w14:paraId="0B34292A">
      <w:pPr>
        <w:numPr>
          <w:ilvl w:val="2"/>
          <w:numId w:val="7"/>
        </w:numPr>
        <w:spacing w:line="360" w:lineRule="auto"/>
        <w:ind w:left="1701" w:hanging="708"/>
        <w:rPr>
          <w:rFonts w:eastAsia="楷体_GB2312"/>
          <w:color w:val="000000"/>
          <w:sz w:val="24"/>
        </w:rPr>
      </w:pPr>
      <w:r>
        <w:rPr>
          <w:rFonts w:eastAsia="楷体_GB2312"/>
          <w:color w:val="000000"/>
          <w:sz w:val="24"/>
        </w:rPr>
        <w:t>“受托人”按照</w:t>
      </w:r>
      <w:r>
        <w:rPr>
          <w:rFonts w:eastAsia="楷体_GB2312"/>
          <w:bCs/>
          <w:color w:val="000000"/>
          <w:sz w:val="24"/>
        </w:rPr>
        <w:t>“</w:t>
      </w:r>
      <w:r>
        <w:rPr>
          <w:rFonts w:eastAsia="楷体_GB2312"/>
          <w:color w:val="000000"/>
          <w:sz w:val="24"/>
        </w:rPr>
        <w:t>中国”“法律”正式注册成立并有效存续，具有全部的权利和授权，以继续进行其正在进行之业务以及享有本合同和其作为一方的其他“交易文件”项下的权利，并履行本合同和其作为一方的其他“交易文件”项下的义务；</w:t>
      </w:r>
    </w:p>
    <w:p w14:paraId="6B1BF7D0">
      <w:pPr>
        <w:numPr>
          <w:ilvl w:val="2"/>
          <w:numId w:val="7"/>
        </w:numPr>
        <w:spacing w:line="360" w:lineRule="auto"/>
        <w:ind w:left="1701" w:hanging="708"/>
        <w:rPr>
          <w:rFonts w:eastAsia="楷体_GB2312"/>
          <w:color w:val="000000"/>
        </w:rPr>
      </w:pPr>
      <w:r>
        <w:rPr>
          <w:rFonts w:eastAsia="楷体_GB2312"/>
          <w:color w:val="000000"/>
          <w:sz w:val="24"/>
        </w:rPr>
        <w:t>“受托人”已履行一切必要的内部程序获取授权以签署并履行本合同以及其作为一方的其他“交易文件”，本合同以及其作为一方的其他“交易文件”构成“受托人”合法的、有效的和有约束力的义务，并可按照前述协议的条款对其主张权利（除非该等权利的主张受到现时或未来有效并涉及影响债权人的权利和救济的破产、重整、和解或其他类似法律的限制）；</w:t>
      </w:r>
    </w:p>
    <w:p w14:paraId="2AFED250">
      <w:pPr>
        <w:numPr>
          <w:ilvl w:val="2"/>
          <w:numId w:val="7"/>
        </w:numPr>
        <w:spacing w:line="360" w:lineRule="auto"/>
        <w:ind w:left="1701" w:hanging="708"/>
        <w:rPr>
          <w:rFonts w:eastAsia="楷体_GB2312"/>
          <w:color w:val="000000"/>
          <w:kern w:val="0"/>
          <w:sz w:val="24"/>
        </w:rPr>
      </w:pPr>
      <w:r>
        <w:rPr>
          <w:rFonts w:eastAsia="楷体_GB2312"/>
          <w:color w:val="000000"/>
          <w:kern w:val="0"/>
          <w:sz w:val="24"/>
        </w:rPr>
        <w:t>“受托人”已为签署和交付本合同以及其作为一方的其他“交易文件”并履行本合同和该等“交易文件”项下的义务取得了全部必要的同意、许可或批准，并已办理了全部必要的备案、登记和通知手续；</w:t>
      </w:r>
    </w:p>
    <w:p w14:paraId="0CD70256">
      <w:pPr>
        <w:numPr>
          <w:ilvl w:val="2"/>
          <w:numId w:val="7"/>
        </w:numPr>
        <w:spacing w:line="360" w:lineRule="auto"/>
        <w:ind w:left="1701" w:hanging="708"/>
        <w:rPr>
          <w:rFonts w:eastAsia="楷体_GB2312"/>
          <w:color w:val="000000"/>
        </w:rPr>
      </w:pPr>
      <w:r>
        <w:rPr>
          <w:rFonts w:eastAsia="楷体_GB2312"/>
          <w:color w:val="000000"/>
          <w:kern w:val="0"/>
          <w:sz w:val="24"/>
        </w:rPr>
        <w:t>就“受托人”所知，本合同签署之日，“受托人”签署、交付和履行本合同以及其作为一方的其他“交易文件”，第一，不违反或抵触适用于“受托人”的任何</w:t>
      </w:r>
      <w:r>
        <w:rPr>
          <w:rFonts w:eastAsia="楷体_GB2312"/>
          <w:bCs/>
          <w:color w:val="000000"/>
          <w:sz w:val="24"/>
        </w:rPr>
        <w:t>“</w:t>
      </w:r>
      <w:r>
        <w:rPr>
          <w:rFonts w:eastAsia="楷体_GB2312"/>
          <w:color w:val="000000"/>
          <w:kern w:val="0"/>
          <w:sz w:val="24"/>
        </w:rPr>
        <w:t>中国”“法律”的规定或其他</w:t>
      </w:r>
      <w:r>
        <w:rPr>
          <w:rFonts w:eastAsia="楷体_GB2312"/>
          <w:bCs/>
          <w:color w:val="000000"/>
          <w:kern w:val="0"/>
          <w:sz w:val="24"/>
        </w:rPr>
        <w:t>“</w:t>
      </w:r>
      <w:r>
        <w:rPr>
          <w:rFonts w:eastAsia="楷体_GB2312"/>
          <w:color w:val="000000"/>
          <w:kern w:val="0"/>
          <w:sz w:val="24"/>
        </w:rPr>
        <w:t>政府机构”的指令；第二，不违反“受托人”的组建文件；第三，不违反或导致“受托人”违反其作为一方或对其或其财产有约束力的任何协议或契据的约定或规定；第四，不会构成违约或因通知、时间经过即会在任何该等协议或契据项下构成违约的事件；</w:t>
      </w:r>
    </w:p>
    <w:p w14:paraId="2F81445B">
      <w:pPr>
        <w:numPr>
          <w:ilvl w:val="2"/>
          <w:numId w:val="7"/>
        </w:numPr>
        <w:spacing w:line="360" w:lineRule="auto"/>
        <w:ind w:left="1701" w:hanging="708"/>
        <w:rPr>
          <w:rFonts w:eastAsia="楷体_GB2312"/>
          <w:color w:val="000000"/>
          <w:kern w:val="0"/>
          <w:sz w:val="24"/>
        </w:rPr>
      </w:pPr>
      <w:r>
        <w:rPr>
          <w:rFonts w:eastAsia="楷体_GB2312"/>
          <w:color w:val="000000"/>
          <w:kern w:val="0"/>
          <w:sz w:val="24"/>
        </w:rPr>
        <w:t>就</w:t>
      </w:r>
      <w:r>
        <w:rPr>
          <w:rFonts w:eastAsia="楷体_GB2312"/>
          <w:color w:val="000000"/>
          <w:sz w:val="24"/>
        </w:rPr>
        <w:t>“受托人”</w:t>
      </w:r>
      <w:r>
        <w:rPr>
          <w:rFonts w:eastAsia="楷体_GB2312"/>
          <w:color w:val="000000"/>
          <w:kern w:val="0"/>
          <w:sz w:val="24"/>
        </w:rPr>
        <w:t>所知，本合同签署之日，没有任何未决的或拟将进行的诉讼、仲裁及任何</w:t>
      </w:r>
      <w:r>
        <w:rPr>
          <w:rFonts w:eastAsia="楷体_GB2312"/>
          <w:bCs/>
          <w:color w:val="000000"/>
          <w:kern w:val="0"/>
          <w:sz w:val="24"/>
        </w:rPr>
        <w:t>“</w:t>
      </w:r>
      <w:r>
        <w:rPr>
          <w:rFonts w:eastAsia="楷体_GB2312"/>
          <w:color w:val="000000"/>
          <w:kern w:val="0"/>
          <w:sz w:val="24"/>
        </w:rPr>
        <w:t>政府机构”的行为、程序或调查，质疑本合同、“受托人”作为一方的其他“交易文件”或根据本合同或其他任何“交易文件”已采取或将要采取的行动的有效性，或很可能导致“受托人”不符合“受托人合格标准”的事项或“重大不利变化”；</w:t>
      </w:r>
    </w:p>
    <w:p w14:paraId="0D2829DC">
      <w:pPr>
        <w:numPr>
          <w:ilvl w:val="2"/>
          <w:numId w:val="7"/>
        </w:numPr>
        <w:spacing w:line="360" w:lineRule="auto"/>
        <w:ind w:left="1701" w:hanging="708"/>
        <w:rPr>
          <w:rFonts w:eastAsia="楷体_GB2312"/>
          <w:color w:val="000000"/>
        </w:rPr>
      </w:pPr>
      <w:r>
        <w:rPr>
          <w:rFonts w:eastAsia="楷体_GB2312"/>
          <w:color w:val="000000"/>
          <w:kern w:val="0"/>
          <w:sz w:val="24"/>
        </w:rPr>
        <w:t>就</w:t>
      </w:r>
      <w:r>
        <w:rPr>
          <w:rFonts w:eastAsia="楷体_GB2312"/>
          <w:color w:val="000000"/>
          <w:sz w:val="24"/>
        </w:rPr>
        <w:t>“受托人”</w:t>
      </w:r>
      <w:r>
        <w:rPr>
          <w:rFonts w:eastAsia="楷体_GB2312"/>
          <w:color w:val="000000"/>
          <w:kern w:val="0"/>
          <w:sz w:val="24"/>
        </w:rPr>
        <w:t>所知，本合同签署之日，未出现或持续存在任何事件，也不存在任何状况，且完成本合同以及“受托人”作为一方的其他“交易文件”项下的交易也不会导致任何事件或状况，构成违反或被合理预期构成或导致违反“受托人”作为一方或对其或其财产有约束力的任何协议或契据的任何条款，或构成或被合理预期将构成“受托人解任事件”或与“受托人”有关的“违约事件”；</w:t>
      </w:r>
    </w:p>
    <w:p w14:paraId="58DA8562">
      <w:pPr>
        <w:numPr>
          <w:ilvl w:val="2"/>
          <w:numId w:val="7"/>
        </w:numPr>
        <w:spacing w:line="360" w:lineRule="auto"/>
        <w:ind w:left="1701" w:hanging="708"/>
        <w:rPr>
          <w:rFonts w:eastAsia="楷体_GB2312"/>
          <w:color w:val="000000"/>
          <w:kern w:val="0"/>
          <w:sz w:val="24"/>
        </w:rPr>
      </w:pPr>
      <w:r>
        <w:rPr>
          <w:rFonts w:eastAsia="楷体_GB2312"/>
          <w:color w:val="000000"/>
          <w:kern w:val="0"/>
          <w:sz w:val="24"/>
        </w:rPr>
        <w:t>“受托人”</w:t>
      </w:r>
      <w:r>
        <w:rPr>
          <w:rFonts w:eastAsia="楷体_GB2312"/>
          <w:color w:val="000000"/>
          <w:sz w:val="24"/>
        </w:rPr>
        <w:t>未曾</w:t>
      </w:r>
      <w:r>
        <w:rPr>
          <w:rFonts w:eastAsia="楷体_GB2312"/>
          <w:color w:val="000000"/>
          <w:kern w:val="0"/>
          <w:sz w:val="24"/>
        </w:rPr>
        <w:t>采取任何行动，导致在“信托财产”和相关“账户记录”上设定任何担保；</w:t>
      </w:r>
    </w:p>
    <w:p w14:paraId="523BDDBD">
      <w:pPr>
        <w:numPr>
          <w:ilvl w:val="2"/>
          <w:numId w:val="7"/>
        </w:numPr>
        <w:spacing w:line="360" w:lineRule="auto"/>
        <w:ind w:left="1701" w:hanging="708"/>
        <w:rPr>
          <w:rFonts w:eastAsia="楷体_GB2312"/>
          <w:color w:val="000000"/>
        </w:rPr>
      </w:pPr>
      <w:r>
        <w:rPr>
          <w:rFonts w:eastAsia="楷体_GB2312"/>
          <w:color w:val="000000"/>
          <w:sz w:val="24"/>
        </w:rPr>
        <w:t>“信托受益权”</w:t>
      </w:r>
      <w:r>
        <w:rPr>
          <w:rFonts w:eastAsia="楷体_GB2312"/>
          <w:color w:val="000000"/>
          <w:kern w:val="0"/>
          <w:sz w:val="24"/>
        </w:rPr>
        <w:t>构成“受托人”作为本合同项下“受托人”的有效的、合法的、有约束力的支付义务（以“信托财产”为限），并可按照其条款和本合同的条款对其主张权利；</w:t>
      </w:r>
    </w:p>
    <w:p w14:paraId="5DB66D08">
      <w:pPr>
        <w:numPr>
          <w:ilvl w:val="2"/>
          <w:numId w:val="7"/>
        </w:numPr>
        <w:spacing w:line="360" w:lineRule="auto"/>
        <w:ind w:left="1701" w:hanging="708"/>
        <w:rPr>
          <w:rFonts w:eastAsia="楷体_GB2312"/>
          <w:color w:val="000000"/>
          <w:sz w:val="24"/>
        </w:rPr>
      </w:pPr>
      <w:r>
        <w:rPr>
          <w:rFonts w:eastAsia="楷体_GB2312"/>
          <w:color w:val="000000"/>
          <w:sz w:val="24"/>
        </w:rPr>
        <w:t>“受托人”在“交易文件”中（无论是作为“受托人”还是“发行人”）作出的陈述和保证，在所有重大方面均真实、完整和正确；以及</w:t>
      </w:r>
    </w:p>
    <w:p w14:paraId="3A81AFC9">
      <w:pPr>
        <w:numPr>
          <w:ilvl w:val="2"/>
          <w:numId w:val="7"/>
        </w:numPr>
        <w:spacing w:line="360" w:lineRule="auto"/>
        <w:ind w:left="1701" w:hanging="708"/>
        <w:rPr>
          <w:rFonts w:eastAsia="楷体_GB2312"/>
          <w:b/>
          <w:color w:val="000000"/>
          <w:sz w:val="24"/>
        </w:rPr>
      </w:pPr>
      <w:r>
        <w:rPr>
          <w:rFonts w:eastAsia="楷体_GB2312"/>
          <w:color w:val="000000"/>
          <w:sz w:val="24"/>
        </w:rPr>
        <w:t>在本合同签署前，对“资产”的现状有了合理审慎地知悉。“受托人”签署本合同，即视为“受托人”（代表“资产支持证券持有人”）接受并知悉“资产”的所有风险、瑕疵。</w:t>
      </w:r>
    </w:p>
    <w:p w14:paraId="1C4190BB">
      <w:pPr>
        <w:numPr>
          <w:ilvl w:val="1"/>
          <w:numId w:val="7"/>
        </w:numPr>
        <w:spacing w:line="360" w:lineRule="auto"/>
        <w:rPr>
          <w:rFonts w:eastAsia="楷体_GB2312"/>
          <w:b/>
          <w:color w:val="000000"/>
          <w:sz w:val="24"/>
        </w:rPr>
      </w:pPr>
      <w:bookmarkStart w:id="346" w:name="_Toc129927821"/>
      <w:r>
        <w:rPr>
          <w:rFonts w:eastAsia="楷体_GB2312"/>
          <w:b/>
          <w:color w:val="000000"/>
          <w:sz w:val="24"/>
        </w:rPr>
        <w:t>受托人关于委托人声明和保证以及资产风险揭示的声明</w:t>
      </w:r>
      <w:bookmarkEnd w:id="346"/>
    </w:p>
    <w:p w14:paraId="1A5A2031">
      <w:pPr>
        <w:spacing w:line="360" w:lineRule="auto"/>
        <w:ind w:left="958" w:leftChars="456"/>
      </w:pPr>
      <w:r>
        <w:rPr>
          <w:rFonts w:eastAsia="楷体_GB2312"/>
          <w:color w:val="000000"/>
          <w:sz w:val="24"/>
        </w:rPr>
        <w:t>“受托人”（代表“资产支持证券持有人”）在此确认，其已被告知“资产”可能涉及的“委托人”在本合同第</w:t>
      </w:r>
      <w:r>
        <w:rPr>
          <w:rFonts w:eastAsia="楷体_GB2312"/>
          <w:color w:val="000000"/>
          <w:sz w:val="24"/>
        </w:rPr>
        <w:fldChar w:fldCharType="begin"/>
      </w:r>
      <w:r>
        <w:rPr>
          <w:rFonts w:eastAsia="楷体_GB2312"/>
          <w:color w:val="000000"/>
          <w:sz w:val="24"/>
        </w:rPr>
        <w:instrText xml:space="preserve"> REF _Ref449359452 \r \h  \* MERGEFORMAT </w:instrText>
      </w:r>
      <w:r>
        <w:rPr>
          <w:rFonts w:eastAsia="楷体_GB2312"/>
          <w:color w:val="000000"/>
          <w:sz w:val="24"/>
        </w:rPr>
        <w:fldChar w:fldCharType="separate"/>
      </w:r>
      <w:r>
        <w:rPr>
          <w:rFonts w:eastAsia="楷体_GB2312"/>
          <w:color w:val="000000"/>
          <w:sz w:val="24"/>
        </w:rPr>
        <w:t>6.5</w:t>
      </w:r>
      <w:r>
        <w:rPr>
          <w:rFonts w:eastAsia="楷体_GB2312"/>
          <w:color w:val="000000"/>
          <w:sz w:val="24"/>
        </w:rPr>
        <w:fldChar w:fldCharType="end"/>
      </w:r>
      <w:r>
        <w:rPr>
          <w:rFonts w:eastAsia="楷体_GB2312"/>
          <w:color w:val="000000"/>
          <w:sz w:val="24"/>
        </w:rPr>
        <w:t>款所揭示的风险和瑕疵，除“委托人”在本合同第</w:t>
      </w:r>
      <w:r>
        <w:rPr>
          <w:rFonts w:eastAsia="楷体_GB2312"/>
          <w:color w:val="000000"/>
          <w:sz w:val="24"/>
        </w:rPr>
        <w:fldChar w:fldCharType="begin"/>
      </w:r>
      <w:r>
        <w:rPr>
          <w:rFonts w:eastAsia="楷体_GB2312"/>
          <w:color w:val="000000"/>
          <w:sz w:val="24"/>
        </w:rPr>
        <w:instrText xml:space="preserve"> REF _Ref459196200 \r \h  \* MERGEFORMAT </w:instrText>
      </w:r>
      <w:r>
        <w:rPr>
          <w:rFonts w:eastAsia="楷体_GB2312"/>
          <w:color w:val="000000"/>
          <w:sz w:val="24"/>
        </w:rPr>
        <w:fldChar w:fldCharType="separate"/>
      </w:r>
      <w:r>
        <w:rPr>
          <w:rFonts w:eastAsia="楷体_GB2312"/>
          <w:color w:val="000000"/>
          <w:sz w:val="24"/>
        </w:rPr>
        <w:t>6.4</w:t>
      </w:r>
      <w:r>
        <w:rPr>
          <w:rFonts w:eastAsia="楷体_GB2312"/>
          <w:color w:val="000000"/>
          <w:sz w:val="24"/>
        </w:rPr>
        <w:fldChar w:fldCharType="end"/>
      </w:r>
      <w:r>
        <w:rPr>
          <w:rFonts w:eastAsia="楷体_GB2312"/>
          <w:color w:val="000000"/>
          <w:sz w:val="24"/>
        </w:rPr>
        <w:t>款作出“资产保证”的事项外，同意按“信托财产交付日”之状态受让本合同项下之“资产池”。</w:t>
      </w:r>
    </w:p>
    <w:p w14:paraId="0E91AB81">
      <w:pPr>
        <w:numPr>
          <w:ilvl w:val="0"/>
          <w:numId w:val="7"/>
        </w:numPr>
        <w:spacing w:line="360" w:lineRule="auto"/>
        <w:outlineLvl w:val="0"/>
        <w:rPr>
          <w:rFonts w:eastAsia="楷体_GB2312"/>
          <w:color w:val="000000"/>
          <w:sz w:val="24"/>
        </w:rPr>
      </w:pPr>
      <w:bookmarkStart w:id="347" w:name="_Toc340404053"/>
      <w:bookmarkEnd w:id="347"/>
      <w:bookmarkStart w:id="348" w:name="_Toc340404049"/>
      <w:bookmarkEnd w:id="348"/>
      <w:bookmarkStart w:id="349" w:name="_Toc340404041"/>
      <w:bookmarkEnd w:id="349"/>
      <w:bookmarkStart w:id="350" w:name="_Toc340404048"/>
      <w:bookmarkEnd w:id="350"/>
      <w:bookmarkStart w:id="351" w:name="_Toc340404039"/>
      <w:bookmarkEnd w:id="351"/>
      <w:bookmarkStart w:id="352" w:name="_Toc340404035"/>
      <w:bookmarkEnd w:id="352"/>
      <w:bookmarkStart w:id="353" w:name="_Toc340404040"/>
      <w:bookmarkEnd w:id="353"/>
      <w:bookmarkStart w:id="354" w:name="_Toc340404050"/>
      <w:bookmarkEnd w:id="354"/>
      <w:bookmarkStart w:id="355" w:name="_Toc340404034"/>
      <w:bookmarkEnd w:id="355"/>
      <w:bookmarkStart w:id="356" w:name="_Toc340404036"/>
      <w:bookmarkEnd w:id="356"/>
      <w:bookmarkStart w:id="357" w:name="_Toc340404037"/>
      <w:bookmarkEnd w:id="357"/>
      <w:bookmarkStart w:id="358" w:name="_Toc340404045"/>
      <w:bookmarkEnd w:id="358"/>
      <w:bookmarkStart w:id="359" w:name="_Toc340404044"/>
      <w:bookmarkEnd w:id="359"/>
      <w:bookmarkStart w:id="360" w:name="_Toc340404046"/>
      <w:bookmarkEnd w:id="360"/>
      <w:bookmarkStart w:id="361" w:name="_Toc340404054"/>
      <w:bookmarkEnd w:id="361"/>
      <w:bookmarkStart w:id="362" w:name="_Toc340404052"/>
      <w:bookmarkEnd w:id="362"/>
      <w:bookmarkStart w:id="363" w:name="_Toc340404051"/>
      <w:bookmarkEnd w:id="363"/>
      <w:bookmarkStart w:id="364" w:name="_Toc219654335"/>
      <w:bookmarkEnd w:id="364"/>
      <w:bookmarkStart w:id="365" w:name="_Toc340404033"/>
      <w:bookmarkEnd w:id="365"/>
      <w:bookmarkStart w:id="366" w:name="_Toc219654264"/>
      <w:bookmarkEnd w:id="366"/>
      <w:bookmarkStart w:id="367" w:name="_Toc340404038"/>
      <w:bookmarkEnd w:id="367"/>
      <w:bookmarkStart w:id="368" w:name="_Toc340404042"/>
      <w:bookmarkEnd w:id="368"/>
      <w:bookmarkStart w:id="369" w:name="_Toc340404047"/>
      <w:bookmarkEnd w:id="369"/>
      <w:bookmarkStart w:id="370" w:name="_Toc340404043"/>
      <w:bookmarkEnd w:id="370"/>
      <w:bookmarkStart w:id="371" w:name="_Toc225538156"/>
      <w:bookmarkStart w:id="372" w:name="_Toc219710675"/>
      <w:r>
        <w:rPr>
          <w:rFonts w:eastAsia="楷体_GB2312"/>
          <w:b/>
          <w:color w:val="000000"/>
          <w:sz w:val="24"/>
        </w:rPr>
        <w:t>受益人的权利与义务</w:t>
      </w:r>
      <w:bookmarkEnd w:id="371"/>
      <w:bookmarkEnd w:id="372"/>
    </w:p>
    <w:p w14:paraId="056D3415">
      <w:pPr>
        <w:spacing w:line="360" w:lineRule="auto"/>
        <w:ind w:firstLine="420"/>
        <w:rPr>
          <w:rFonts w:eastAsia="楷体_GB2312"/>
          <w:b/>
          <w:bCs/>
          <w:i/>
          <w:iCs/>
          <w:color w:val="FF0000"/>
          <w:sz w:val="24"/>
        </w:rPr>
      </w:pPr>
      <w:r>
        <w:rPr>
          <w:rFonts w:eastAsia="楷体_GB2312"/>
          <w:b/>
          <w:bCs/>
          <w:i/>
          <w:iCs/>
          <w:color w:val="FF0000"/>
          <w:sz w:val="24"/>
        </w:rPr>
        <w:t>【注：受益人的权利、义务条款可根据项目具体情况进行补充或调整。】</w:t>
      </w:r>
    </w:p>
    <w:p w14:paraId="4973B04B">
      <w:pPr>
        <w:numPr>
          <w:ilvl w:val="1"/>
          <w:numId w:val="7"/>
        </w:numPr>
        <w:spacing w:line="360" w:lineRule="auto"/>
        <w:rPr>
          <w:rFonts w:eastAsia="楷体_GB2312"/>
          <w:b/>
          <w:color w:val="000000"/>
          <w:sz w:val="24"/>
        </w:rPr>
      </w:pPr>
      <w:r>
        <w:rPr>
          <w:rFonts w:eastAsia="楷体_GB2312"/>
          <w:b/>
          <w:color w:val="000000"/>
          <w:sz w:val="24"/>
        </w:rPr>
        <w:t>受益人的权利</w:t>
      </w:r>
    </w:p>
    <w:p w14:paraId="763EFC98">
      <w:pPr>
        <w:numPr>
          <w:ilvl w:val="2"/>
          <w:numId w:val="7"/>
        </w:numPr>
        <w:spacing w:line="360" w:lineRule="auto"/>
        <w:ind w:left="1701" w:hanging="708"/>
        <w:rPr>
          <w:rFonts w:eastAsia="楷体_GB2312"/>
          <w:b/>
          <w:bCs/>
          <w:color w:val="000000"/>
          <w:sz w:val="24"/>
          <w:u w:val="single"/>
        </w:rPr>
      </w:pPr>
      <w:r>
        <w:rPr>
          <w:rFonts w:eastAsia="楷体_GB2312"/>
          <w:color w:val="000000"/>
          <w:sz w:val="24"/>
        </w:rPr>
        <w:t>“资产支持证券持有人”有权按本合同约定享有与其持有“资产支持证券”类别和数额对应的“信托受益权”，并参与相关“信托利益”的分配，有权按照本合同的约定参加“资产支持证券持有人大会”，行使相应的权利。</w:t>
      </w:r>
    </w:p>
    <w:p w14:paraId="696D3AC4">
      <w:pPr>
        <w:numPr>
          <w:ilvl w:val="2"/>
          <w:numId w:val="7"/>
        </w:numPr>
        <w:spacing w:line="360" w:lineRule="auto"/>
        <w:ind w:left="1701" w:hanging="708"/>
        <w:rPr>
          <w:rFonts w:eastAsia="楷体_GB2312"/>
          <w:b/>
          <w:color w:val="000000"/>
          <w:sz w:val="24"/>
        </w:rPr>
      </w:pPr>
      <w:r>
        <w:rPr>
          <w:rFonts w:eastAsia="楷体_GB2312"/>
          <w:color w:val="000000"/>
          <w:sz w:val="24"/>
        </w:rPr>
        <w:t>在“信托期限”内，“资产支持证券持有人”可以根据本合同的约定及相关市场规则，依法转让其所持有的“资产支持证券”，但</w:t>
      </w:r>
      <w:r>
        <w:rPr>
          <w:rFonts w:eastAsia="楷体_GB2312"/>
          <w:bCs/>
          <w:color w:val="000000"/>
          <w:sz w:val="24"/>
        </w:rPr>
        <w:t>“</w:t>
      </w:r>
      <w:r>
        <w:rPr>
          <w:rFonts w:eastAsia="楷体_GB2312"/>
          <w:color w:val="000000"/>
          <w:sz w:val="24"/>
        </w:rPr>
        <w:t>中国”“法律”规定不得转让的情形除外。</w:t>
      </w:r>
    </w:p>
    <w:p w14:paraId="1E74729B">
      <w:pPr>
        <w:numPr>
          <w:ilvl w:val="2"/>
          <w:numId w:val="7"/>
        </w:numPr>
        <w:spacing w:line="360" w:lineRule="auto"/>
        <w:ind w:left="1701" w:hanging="708"/>
        <w:rPr>
          <w:rFonts w:eastAsia="楷体_GB2312"/>
          <w:color w:val="000000"/>
          <w:sz w:val="24"/>
        </w:rPr>
      </w:pPr>
      <w:r>
        <w:rPr>
          <w:rFonts w:eastAsia="楷体_GB2312"/>
          <w:color w:val="000000"/>
          <w:sz w:val="24"/>
        </w:rPr>
        <w:t>“受益人”有权按照本合同约定向“受托人”了解“信托财产”的管理、处分及收支情况。</w:t>
      </w:r>
    </w:p>
    <w:p w14:paraId="745D7262">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“资产支持证券持有人”有权依法查阅或者复制公开披露的“信托财产”和“资产支持证券”信息资料。</w:t>
      </w:r>
    </w:p>
    <w:p w14:paraId="3FF9FDC8">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“资产支持证券持有人”有权按照本合同约定提议召开或者自行召开“资产支持证券持有人大会”。</w:t>
      </w:r>
    </w:p>
    <w:p w14:paraId="7489B5F3">
      <w:pPr>
        <w:numPr>
          <w:ilvl w:val="2"/>
          <w:numId w:val="7"/>
        </w:numPr>
        <w:spacing w:line="360" w:lineRule="auto"/>
        <w:ind w:left="1701" w:hanging="708"/>
        <w:rPr>
          <w:rFonts w:eastAsia="楷体_GB2312"/>
          <w:color w:val="000000"/>
          <w:sz w:val="24"/>
        </w:rPr>
      </w:pPr>
      <w:r>
        <w:rPr>
          <w:rFonts w:eastAsia="楷体_GB2312"/>
          <w:color w:val="000000"/>
          <w:sz w:val="24"/>
        </w:rPr>
        <w:t>在发生“受托人”违反“信托”目的处分“信托财产”或者因违背管理职责、处理“信托”事务不当致使“信托财产”受到损失的情形下，“资产支持证券持有人”通过“资产支持证券持有人大会”有权申请人民法院撤销该处分行为，并有权要求“受托人”恢复“信托财产”的原状或者予以合理赔偿。“资产支持证券持有人”的撤销权自“资产支持证券持有人”知道或者应当知道撤销原因之日起一年内不行使的，归于消灭。</w:t>
      </w:r>
    </w:p>
    <w:p w14:paraId="62161260">
      <w:pPr>
        <w:numPr>
          <w:ilvl w:val="2"/>
          <w:numId w:val="7"/>
        </w:numPr>
        <w:spacing w:line="360" w:lineRule="auto"/>
        <w:ind w:left="1701" w:hanging="708"/>
        <w:rPr>
          <w:rFonts w:eastAsia="楷体_GB2312"/>
          <w:color w:val="000000"/>
          <w:sz w:val="24"/>
        </w:rPr>
      </w:pPr>
      <w:r>
        <w:rPr>
          <w:rFonts w:eastAsia="楷体_GB2312"/>
          <w:color w:val="000000"/>
          <w:sz w:val="24"/>
        </w:rPr>
        <w:t>在发生“受托人”或各相关服务机构（包括“贷款服务机构”及“资金保管机构”）违反“信托”目的处分“信托财产”或者管理、处分“信托财产”有重大过失的情形下，“资产支持证券持有人”有权通过“资产支持证券持有人大会”，按照本合同的约定解任“受托人”、各相关服务机构（包括“贷款服务机构”及“资金保管机构”）。</w:t>
      </w:r>
    </w:p>
    <w:p w14:paraId="03CBEAAF">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“资产支持证券持有人”有权按照本合同约定提议召开或者自行召开“资产支持证券持有人大会”。</w:t>
      </w:r>
    </w:p>
    <w:p w14:paraId="40F6EE13">
      <w:pPr>
        <w:numPr>
          <w:ilvl w:val="2"/>
          <w:numId w:val="7"/>
        </w:numPr>
        <w:spacing w:line="360" w:lineRule="auto"/>
        <w:ind w:left="1701" w:hanging="708"/>
        <w:rPr>
          <w:rFonts w:eastAsia="楷体_GB2312"/>
          <w:color w:val="000000"/>
          <w:sz w:val="24"/>
        </w:rPr>
      </w:pPr>
      <w:r>
        <w:rPr>
          <w:rFonts w:eastAsia="楷体_GB2312"/>
          <w:color w:val="000000"/>
          <w:sz w:val="24"/>
        </w:rPr>
        <w:t>“受益人”有权享有并行使</w:t>
      </w:r>
      <w:r>
        <w:rPr>
          <w:rFonts w:eastAsia="楷体_GB2312"/>
          <w:bCs/>
          <w:color w:val="000000"/>
          <w:sz w:val="24"/>
        </w:rPr>
        <w:t>“</w:t>
      </w:r>
      <w:r>
        <w:rPr>
          <w:rFonts w:eastAsia="楷体_GB2312"/>
          <w:color w:val="000000"/>
          <w:sz w:val="24"/>
        </w:rPr>
        <w:t>中国”“法律”规定的和本合同约定的与本“信托”相关的其他权利。</w:t>
      </w:r>
    </w:p>
    <w:p w14:paraId="5C183913">
      <w:pPr>
        <w:numPr>
          <w:ilvl w:val="1"/>
          <w:numId w:val="7"/>
        </w:numPr>
        <w:spacing w:line="360" w:lineRule="auto"/>
        <w:rPr>
          <w:rFonts w:eastAsia="楷体_GB2312"/>
          <w:b/>
          <w:color w:val="000000"/>
          <w:sz w:val="24"/>
        </w:rPr>
      </w:pPr>
      <w:r>
        <w:rPr>
          <w:rFonts w:eastAsia="楷体_GB2312"/>
          <w:b/>
          <w:color w:val="000000"/>
          <w:sz w:val="24"/>
        </w:rPr>
        <w:t>受益人的义务</w:t>
      </w:r>
    </w:p>
    <w:p w14:paraId="28527681">
      <w:pPr>
        <w:numPr>
          <w:ilvl w:val="2"/>
          <w:numId w:val="7"/>
        </w:numPr>
        <w:spacing w:line="360" w:lineRule="auto"/>
        <w:ind w:left="1701" w:hanging="708"/>
        <w:rPr>
          <w:rFonts w:eastAsia="楷体_GB2312"/>
          <w:color w:val="000000"/>
          <w:sz w:val="24"/>
        </w:rPr>
      </w:pPr>
      <w:r>
        <w:rPr>
          <w:rFonts w:eastAsia="楷体_GB2312"/>
          <w:color w:val="000000"/>
          <w:sz w:val="24"/>
        </w:rPr>
        <w:t>“受益人”应按照本合同的约定合理善意行使“受益人”的权利，不得损害其他方或其他类别“受益人”的合法权利和利益。</w:t>
      </w:r>
    </w:p>
    <w:p w14:paraId="7E98FC37">
      <w:pPr>
        <w:numPr>
          <w:ilvl w:val="2"/>
          <w:numId w:val="7"/>
        </w:numPr>
        <w:spacing w:line="360" w:lineRule="auto"/>
        <w:ind w:left="1701" w:hanging="708"/>
        <w:rPr>
          <w:rFonts w:eastAsia="楷体_GB2312"/>
          <w:color w:val="000000"/>
          <w:sz w:val="24"/>
        </w:rPr>
      </w:pPr>
      <w:r>
        <w:rPr>
          <w:rFonts w:eastAsia="楷体_GB2312"/>
          <w:color w:val="000000"/>
          <w:sz w:val="24"/>
        </w:rPr>
        <w:t>“受益人”对依本合同约定获得的有关本“信托”的所有非公开的信息负有保密义务。</w:t>
      </w:r>
    </w:p>
    <w:p w14:paraId="4E10C383">
      <w:pPr>
        <w:numPr>
          <w:ilvl w:val="2"/>
          <w:numId w:val="7"/>
        </w:numPr>
        <w:spacing w:line="360" w:lineRule="auto"/>
        <w:ind w:left="1701" w:hanging="708"/>
        <w:rPr>
          <w:rFonts w:eastAsia="楷体_GB2312"/>
          <w:sz w:val="24"/>
        </w:rPr>
      </w:pPr>
      <w:r>
        <w:rPr>
          <w:rFonts w:eastAsia="楷体_GB2312"/>
          <w:color w:val="000000"/>
          <w:sz w:val="24"/>
        </w:rPr>
        <w:t>“受益人”负有</w:t>
      </w:r>
      <w:r>
        <w:rPr>
          <w:rFonts w:eastAsia="楷体_GB2312"/>
          <w:bCs/>
          <w:color w:val="000000"/>
          <w:sz w:val="24"/>
        </w:rPr>
        <w:t>“</w:t>
      </w:r>
      <w:r>
        <w:rPr>
          <w:rFonts w:eastAsia="楷体_GB2312"/>
          <w:color w:val="000000"/>
          <w:sz w:val="24"/>
        </w:rPr>
        <w:t>中国”“法律”和本合同约定的其他与本“信托”相关的义务。</w:t>
      </w:r>
    </w:p>
    <w:bookmarkEnd w:id="324"/>
    <w:bookmarkEnd w:id="325"/>
    <w:bookmarkEnd w:id="326"/>
    <w:p w14:paraId="74296A67">
      <w:pPr>
        <w:numPr>
          <w:ilvl w:val="0"/>
          <w:numId w:val="7"/>
        </w:numPr>
        <w:spacing w:line="360" w:lineRule="auto"/>
        <w:outlineLvl w:val="0"/>
        <w:rPr>
          <w:rFonts w:eastAsia="楷体_GB2312"/>
          <w:color w:val="000000"/>
          <w:sz w:val="24"/>
        </w:rPr>
      </w:pPr>
      <w:bookmarkStart w:id="373" w:name="_Toc47905506"/>
      <w:bookmarkEnd w:id="373"/>
      <w:bookmarkStart w:id="374" w:name="_Toc47910590"/>
      <w:bookmarkEnd w:id="374"/>
      <w:bookmarkStart w:id="375" w:name="_Toc219654266"/>
      <w:bookmarkEnd w:id="375"/>
      <w:bookmarkStart w:id="376" w:name="_Toc47905505"/>
      <w:bookmarkEnd w:id="376"/>
      <w:bookmarkStart w:id="377" w:name="_Toc47910591"/>
      <w:bookmarkEnd w:id="377"/>
      <w:bookmarkStart w:id="378" w:name="_Toc219654337"/>
      <w:bookmarkEnd w:id="378"/>
      <w:bookmarkStart w:id="379" w:name="_Toc219710676"/>
      <w:bookmarkStart w:id="380" w:name="_Toc225538157"/>
      <w:bookmarkStart w:id="381" w:name="_Toc92612923"/>
      <w:r>
        <w:rPr>
          <w:rFonts w:eastAsia="楷体_GB2312"/>
          <w:b/>
          <w:color w:val="000000"/>
          <w:sz w:val="24"/>
        </w:rPr>
        <w:t>信托受益权和资产支持证券</w:t>
      </w:r>
      <w:bookmarkEnd w:id="379"/>
      <w:bookmarkEnd w:id="380"/>
    </w:p>
    <w:bookmarkEnd w:id="381"/>
    <w:p w14:paraId="73E3EE3F">
      <w:pPr>
        <w:numPr>
          <w:ilvl w:val="1"/>
          <w:numId w:val="7"/>
        </w:numPr>
        <w:spacing w:line="360" w:lineRule="auto"/>
        <w:rPr>
          <w:rFonts w:eastAsia="楷体_GB2312"/>
          <w:b/>
          <w:color w:val="000000"/>
          <w:sz w:val="24"/>
        </w:rPr>
      </w:pPr>
      <w:bookmarkStart w:id="382" w:name="_Toc111281787"/>
      <w:bookmarkStart w:id="383" w:name="_Toc201569406"/>
      <w:r>
        <w:rPr>
          <w:rFonts w:eastAsia="楷体_GB2312"/>
          <w:b/>
          <w:color w:val="000000"/>
          <w:sz w:val="24"/>
        </w:rPr>
        <w:t>信托受益权</w:t>
      </w:r>
      <w:bookmarkEnd w:id="382"/>
      <w:bookmarkEnd w:id="383"/>
    </w:p>
    <w:p w14:paraId="0A37D868">
      <w:pPr>
        <w:spacing w:line="360" w:lineRule="auto"/>
        <w:ind w:left="992"/>
        <w:rPr>
          <w:rStyle w:val="41"/>
          <w:rFonts w:eastAsia="楷体_GB2312"/>
          <w:color w:val="000000"/>
          <w:w w:val="0"/>
          <w:sz w:val="24"/>
          <w:u w:val="none"/>
        </w:rPr>
      </w:pPr>
      <w:bookmarkStart w:id="384" w:name="_DV_C377"/>
      <w:r>
        <w:rPr>
          <w:rStyle w:val="41"/>
          <w:rFonts w:eastAsia="楷体_GB2312"/>
          <w:color w:val="000000"/>
          <w:w w:val="0"/>
          <w:sz w:val="24"/>
          <w:u w:val="none"/>
        </w:rPr>
        <w:t>“信托”项下的“信托受益权”分为“优先级信托受益权”、“次级信托受益权”。</w:t>
      </w:r>
      <w:bookmarkEnd w:id="384"/>
      <w:r>
        <w:rPr>
          <w:rStyle w:val="41"/>
          <w:rFonts w:eastAsia="楷体_GB2312"/>
          <w:color w:val="000000"/>
          <w:w w:val="0"/>
          <w:sz w:val="24"/>
          <w:u w:val="none"/>
        </w:rPr>
        <w:t>其中，“优先级信托受益权”由“优先级资产支持证券”表示，“次级信托受益权”由“次级资产支持证券”表示。除本合同约定的以外，“信托”不产生任何其他受益权，且“信托”中的受益权无进一步分割。</w:t>
      </w:r>
    </w:p>
    <w:p w14:paraId="1B75C874">
      <w:pPr>
        <w:numPr>
          <w:ilvl w:val="1"/>
          <w:numId w:val="7"/>
        </w:numPr>
        <w:spacing w:line="360" w:lineRule="auto"/>
        <w:rPr>
          <w:rStyle w:val="41"/>
          <w:rFonts w:eastAsia="楷体_GB2312"/>
          <w:color w:val="000000"/>
          <w:w w:val="0"/>
          <w:sz w:val="24"/>
          <w:u w:val="none"/>
        </w:rPr>
      </w:pPr>
      <w:r>
        <w:rPr>
          <w:rFonts w:eastAsia="楷体_GB2312"/>
          <w:b/>
          <w:color w:val="000000"/>
          <w:sz w:val="24"/>
        </w:rPr>
        <w:t>信托受益人</w:t>
      </w:r>
    </w:p>
    <w:p w14:paraId="1097C63D">
      <w:pPr>
        <w:numPr>
          <w:ilvl w:val="2"/>
          <w:numId w:val="7"/>
        </w:numPr>
        <w:spacing w:line="360" w:lineRule="auto"/>
        <w:ind w:left="1701" w:hanging="708"/>
        <w:rPr>
          <w:rFonts w:eastAsia="楷体_GB2312"/>
          <w:b/>
        </w:rPr>
      </w:pPr>
      <w:r>
        <w:rPr>
          <w:rFonts w:eastAsia="楷体_GB2312"/>
          <w:color w:val="000000"/>
          <w:sz w:val="24"/>
        </w:rPr>
        <w:t>“信托”的“受益人”为“资产支持证券持有人”。每一份“资产支持证券”均代表其持有人享有的相应“信托财产”中不可分割的权益，包括根据本合同相关约定接受特定付款或财产分配的权利。</w:t>
      </w:r>
    </w:p>
    <w:p w14:paraId="299CB933">
      <w:pPr>
        <w:numPr>
          <w:ilvl w:val="2"/>
          <w:numId w:val="7"/>
        </w:numPr>
        <w:spacing w:line="360" w:lineRule="auto"/>
        <w:ind w:left="1701" w:hanging="708"/>
        <w:rPr>
          <w:rFonts w:eastAsia="楷体_GB2312"/>
        </w:rPr>
      </w:pPr>
      <w:r>
        <w:rPr>
          <w:rFonts w:eastAsia="楷体_GB2312"/>
          <w:color w:val="000000"/>
          <w:sz w:val="24"/>
        </w:rPr>
        <w:t>“受托人”应根据每一“资产支持证券持有人”在本合同项下各自享有的权利为其利益持有“信托财产”。“受托人”承诺，由其担任受托人的其他信托的受益人对于本“信托”项下的“信托财产”或“受托人”根据本合同进行的任何分配不享有任何权利或主张。</w:t>
      </w:r>
      <w:bookmarkStart w:id="385" w:name="_Toc201569407"/>
      <w:bookmarkStart w:id="386" w:name="_Toc111281788"/>
    </w:p>
    <w:p w14:paraId="7C79A55A">
      <w:pPr>
        <w:numPr>
          <w:ilvl w:val="1"/>
          <w:numId w:val="7"/>
        </w:numPr>
        <w:spacing w:line="360" w:lineRule="auto"/>
        <w:rPr>
          <w:rFonts w:eastAsia="楷体_GB2312"/>
          <w:b/>
          <w:color w:val="000000"/>
          <w:sz w:val="24"/>
        </w:rPr>
      </w:pPr>
      <w:r>
        <w:rPr>
          <w:rFonts w:eastAsia="楷体_GB2312"/>
          <w:b/>
          <w:color w:val="000000"/>
          <w:sz w:val="24"/>
        </w:rPr>
        <w:t>资产支持证券</w:t>
      </w:r>
      <w:bookmarkEnd w:id="385"/>
      <w:bookmarkEnd w:id="386"/>
    </w:p>
    <w:p w14:paraId="61C96701">
      <w:pPr>
        <w:tabs>
          <w:tab w:val="left" w:pos="2160"/>
        </w:tabs>
        <w:spacing w:line="360" w:lineRule="auto"/>
        <w:ind w:left="993"/>
        <w:rPr>
          <w:rFonts w:eastAsia="楷体_GB2312"/>
          <w:b/>
          <w:color w:val="FF0000"/>
          <w:sz w:val="24"/>
        </w:rPr>
      </w:pPr>
      <w:r>
        <w:rPr>
          <w:rFonts w:eastAsia="楷体_GB2312"/>
          <w:b/>
          <w:i/>
          <w:iCs/>
          <w:color w:val="FF0000"/>
          <w:sz w:val="24"/>
        </w:rPr>
        <w:t>【注：资产支持证券的类别、各级别基本特征条款可根据具体项目的需要进一步细分或调整。】</w:t>
      </w:r>
    </w:p>
    <w:p w14:paraId="06816E34">
      <w:pPr>
        <w:numPr>
          <w:ilvl w:val="2"/>
          <w:numId w:val="7"/>
        </w:numPr>
        <w:spacing w:line="360" w:lineRule="auto"/>
        <w:rPr>
          <w:rFonts w:eastAsia="楷体_GB2312"/>
          <w:color w:val="000000"/>
          <w:sz w:val="24"/>
        </w:rPr>
      </w:pPr>
      <w:bookmarkStart w:id="387" w:name="_DV_C379"/>
      <w:r>
        <w:rPr>
          <w:rFonts w:eastAsia="楷体_GB2312"/>
          <w:color w:val="000000"/>
          <w:sz w:val="24"/>
        </w:rPr>
        <w:t>“资产支持证券”分为“优先级资产支持证券”和“次级资产支持证券”</w:t>
      </w:r>
      <w:bookmarkEnd w:id="387"/>
      <w:r>
        <w:rPr>
          <w:rFonts w:eastAsia="楷体_GB2312"/>
          <w:color w:val="000000"/>
          <w:sz w:val="24"/>
        </w:rPr>
        <w:t>。</w:t>
      </w:r>
    </w:p>
    <w:p w14:paraId="2E6D7664">
      <w:pPr>
        <w:numPr>
          <w:ilvl w:val="2"/>
          <w:numId w:val="7"/>
        </w:numPr>
        <w:spacing w:line="360" w:lineRule="auto"/>
        <w:rPr>
          <w:rFonts w:eastAsia="楷体_GB2312"/>
          <w:color w:val="000000"/>
        </w:rPr>
      </w:pPr>
      <w:r>
        <w:rPr>
          <w:rFonts w:eastAsia="楷体_GB2312"/>
          <w:color w:val="000000"/>
          <w:sz w:val="24"/>
        </w:rPr>
        <w:t>在“资产支持证券”“簿记建档日”，全部“资产支持证券”的发行总量（面值）为人民币【】元，各档“资产支持证券”的总面值及其他特征详见本合同第</w:t>
      </w:r>
      <w:r>
        <w:rPr>
          <w:rFonts w:eastAsia="楷体_GB2312"/>
          <w:color w:val="000000"/>
          <w:sz w:val="24"/>
        </w:rPr>
        <w:fldChar w:fldCharType="begin"/>
      </w:r>
      <w:r>
        <w:rPr>
          <w:rFonts w:eastAsia="楷体_GB2312"/>
          <w:color w:val="000000"/>
          <w:sz w:val="24"/>
        </w:rPr>
        <w:instrText xml:space="preserve"> REF _Ref449687237 \r \h  \* MERGEFORMAT </w:instrText>
      </w:r>
      <w:r>
        <w:rPr>
          <w:rFonts w:eastAsia="楷体_GB2312"/>
          <w:color w:val="000000"/>
          <w:sz w:val="24"/>
        </w:rPr>
        <w:fldChar w:fldCharType="separate"/>
      </w:r>
      <w:r>
        <w:rPr>
          <w:rFonts w:eastAsia="楷体_GB2312"/>
          <w:color w:val="000000"/>
          <w:sz w:val="24"/>
        </w:rPr>
        <w:t>9.7</w:t>
      </w:r>
      <w:r>
        <w:rPr>
          <w:rFonts w:eastAsia="楷体_GB2312"/>
          <w:color w:val="000000"/>
          <w:sz w:val="24"/>
        </w:rPr>
        <w:fldChar w:fldCharType="end"/>
      </w:r>
      <w:r>
        <w:rPr>
          <w:rFonts w:eastAsia="楷体_GB2312"/>
          <w:color w:val="000000"/>
          <w:sz w:val="24"/>
        </w:rPr>
        <w:t>款至第</w:t>
      </w:r>
      <w:r>
        <w:rPr>
          <w:rFonts w:eastAsia="楷体_GB2312"/>
          <w:color w:val="000000"/>
        </w:rPr>
        <w:fldChar w:fldCharType="begin"/>
      </w:r>
      <w:r>
        <w:rPr>
          <w:rFonts w:eastAsia="楷体_GB2312"/>
          <w:color w:val="000000"/>
          <w:sz w:val="24"/>
        </w:rPr>
        <w:instrText xml:space="preserve"> REF _Ref449687237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9.8</w:t>
      </w:r>
      <w:r>
        <w:rPr>
          <w:rFonts w:eastAsia="楷体_GB2312"/>
          <w:color w:val="000000"/>
        </w:rPr>
        <w:fldChar w:fldCharType="end"/>
      </w:r>
      <w:r>
        <w:rPr>
          <w:rFonts w:eastAsia="楷体_GB2312"/>
          <w:color w:val="000000"/>
          <w:sz w:val="24"/>
        </w:rPr>
        <w:t>款的约定。</w:t>
      </w:r>
    </w:p>
    <w:p w14:paraId="3863A854">
      <w:pPr>
        <w:numPr>
          <w:ilvl w:val="1"/>
          <w:numId w:val="7"/>
        </w:numPr>
        <w:spacing w:line="360" w:lineRule="auto"/>
        <w:rPr>
          <w:rFonts w:eastAsia="楷体_GB2312"/>
          <w:b/>
          <w:color w:val="000000"/>
          <w:sz w:val="24"/>
        </w:rPr>
      </w:pPr>
      <w:r>
        <w:rPr>
          <w:rFonts w:eastAsia="楷体_GB2312"/>
          <w:b/>
          <w:color w:val="000000"/>
          <w:sz w:val="24"/>
        </w:rPr>
        <w:t>资产支持证券持有人名单</w:t>
      </w:r>
    </w:p>
    <w:p w14:paraId="623D7BBA">
      <w:pPr>
        <w:numPr>
          <w:ilvl w:val="2"/>
          <w:numId w:val="7"/>
        </w:numPr>
        <w:spacing w:line="360" w:lineRule="auto"/>
        <w:ind w:left="1701" w:hanging="708"/>
        <w:rPr>
          <w:rFonts w:eastAsia="楷体_GB2312"/>
          <w:color w:val="000000"/>
          <w:sz w:val="24"/>
        </w:rPr>
      </w:pPr>
      <w:r>
        <w:rPr>
          <w:rFonts w:eastAsia="楷体_GB2312"/>
          <w:color w:val="000000"/>
          <w:sz w:val="24"/>
        </w:rPr>
        <w:t>在“支付日”前【】个“工作日”，由“登记托管机构”登记于资产支持证券持有人名单上的“资产支持证券持有人”为享有当期本息的“资产支持证券持有人”，有权于该“支付日”取得“资产支持证券”在当期的本金和利息。</w:t>
      </w:r>
    </w:p>
    <w:p w14:paraId="6BC066E9">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在“登记托管机构”登记的信息发生变化时，该“资产支持证券持有人”应通知“登记托管机构”，由“登记托管机构”进行审核后作出相应的变更登记。如果“资产支持证券持有人”上述相关情况发生变化后未及时通知“登记托管机构”，则“资产支持证券持有人”承担因此造成的风险，“受托人”和“登记托管机构”不承担责任。</w:t>
      </w:r>
    </w:p>
    <w:p w14:paraId="4F38D867">
      <w:pPr>
        <w:numPr>
          <w:ilvl w:val="1"/>
          <w:numId w:val="7"/>
        </w:numPr>
        <w:spacing w:line="360" w:lineRule="auto"/>
        <w:rPr>
          <w:rFonts w:eastAsia="楷体_GB2312"/>
          <w:b/>
          <w:color w:val="000000"/>
          <w:sz w:val="24"/>
        </w:rPr>
      </w:pPr>
      <w:bookmarkStart w:id="388" w:name="_Toc474784501"/>
      <w:bookmarkStart w:id="389" w:name="_Toc491855213"/>
      <w:r>
        <w:rPr>
          <w:rFonts w:eastAsia="楷体_GB2312"/>
          <w:b/>
          <w:color w:val="000000"/>
          <w:sz w:val="24"/>
        </w:rPr>
        <w:t>受益人的范围和确定方法</w:t>
      </w:r>
      <w:bookmarkEnd w:id="388"/>
      <w:bookmarkEnd w:id="389"/>
    </w:p>
    <w:p w14:paraId="52D2C6A7">
      <w:pPr>
        <w:numPr>
          <w:ilvl w:val="2"/>
          <w:numId w:val="7"/>
        </w:numPr>
        <w:spacing w:line="360" w:lineRule="auto"/>
        <w:ind w:left="1701" w:hanging="708"/>
        <w:rPr>
          <w:rFonts w:eastAsia="楷体_GB2312"/>
          <w:color w:val="000000"/>
          <w:sz w:val="24"/>
        </w:rPr>
      </w:pPr>
      <w:r>
        <w:rPr>
          <w:rFonts w:eastAsia="楷体_GB2312"/>
          <w:color w:val="000000"/>
          <w:sz w:val="24"/>
        </w:rPr>
        <w:t>“信托”的“受益人”为全体“资产支持证券持有人”。其中，“资产支持证券持有人”包括“优先级资产支持证券”持有人和“次级资产支持证券”持有人以及“资产支持证券持有人”的合法继承人和受让人。</w:t>
      </w:r>
    </w:p>
    <w:p w14:paraId="7B1BC955">
      <w:pPr>
        <w:numPr>
          <w:ilvl w:val="2"/>
          <w:numId w:val="7"/>
        </w:numPr>
        <w:spacing w:line="360" w:lineRule="auto"/>
        <w:ind w:left="1701" w:hanging="708"/>
        <w:rPr>
          <w:rFonts w:eastAsia="楷体_GB2312"/>
          <w:color w:val="000000"/>
          <w:sz w:val="24"/>
        </w:rPr>
      </w:pPr>
      <w:r>
        <w:rPr>
          <w:rFonts w:eastAsia="楷体_GB2312"/>
          <w:color w:val="000000"/>
          <w:sz w:val="24"/>
        </w:rPr>
        <w:t>除“委托人”以外的“资产支持证券持有人”通过认购、受让或其他合法方式取得“资产支持证券”，从而成为“信托”的“受益人”；“委托人”作为“资产支持证券持有人”通过将“资产池”委托给“受托机构”设立“信托”并获得向其定向发行的“资产支持证券”而成为“信托”的“受益人”。</w:t>
      </w:r>
    </w:p>
    <w:p w14:paraId="7407CBD2">
      <w:pPr>
        <w:numPr>
          <w:ilvl w:val="2"/>
          <w:numId w:val="7"/>
        </w:numPr>
        <w:spacing w:line="360" w:lineRule="auto"/>
        <w:ind w:left="1701" w:hanging="708"/>
        <w:rPr>
          <w:rFonts w:eastAsia="楷体_GB2312"/>
          <w:color w:val="000000"/>
          <w:sz w:val="24"/>
        </w:rPr>
      </w:pPr>
      <w:r>
        <w:rPr>
          <w:rFonts w:eastAsia="楷体_GB2312"/>
          <w:color w:val="000000"/>
          <w:sz w:val="24"/>
        </w:rPr>
        <w:t>在“支付日”前【】个“工作日”，由“登记托管机构”登记于“资产支持证券持有人”名单上的“资产支持证券持有人”为享有当期本息的“受益人”，有权于该“支付日”取得“资产支持证券”在当期的本金和利息。</w:t>
      </w:r>
    </w:p>
    <w:p w14:paraId="6A232090">
      <w:pPr>
        <w:numPr>
          <w:ilvl w:val="1"/>
          <w:numId w:val="7"/>
        </w:numPr>
        <w:spacing w:line="360" w:lineRule="auto"/>
        <w:rPr>
          <w:rFonts w:eastAsia="楷体_GB2312"/>
          <w:b/>
          <w:color w:val="000000"/>
          <w:sz w:val="24"/>
        </w:rPr>
      </w:pPr>
      <w:bookmarkStart w:id="390" w:name="_Toc491855214"/>
      <w:r>
        <w:rPr>
          <w:rFonts w:eastAsia="楷体_GB2312"/>
          <w:b/>
          <w:color w:val="000000"/>
          <w:sz w:val="24"/>
        </w:rPr>
        <w:t>受益人取得信托利益的形式和方法</w:t>
      </w:r>
      <w:bookmarkEnd w:id="390"/>
    </w:p>
    <w:p w14:paraId="60A51618">
      <w:pPr>
        <w:spacing w:line="360" w:lineRule="auto"/>
        <w:ind w:left="992"/>
      </w:pPr>
      <w:r>
        <w:rPr>
          <w:rStyle w:val="41"/>
          <w:rFonts w:eastAsia="楷体_GB2312"/>
          <w:color w:val="000000"/>
          <w:w w:val="0"/>
          <w:sz w:val="24"/>
          <w:u w:val="none"/>
        </w:rPr>
        <w:t>各档“资产支持证券持有人”均有权按照本合同第</w:t>
      </w:r>
      <w:r>
        <w:rPr>
          <w:rFonts w:eastAsia="楷体_GB2312"/>
          <w:color w:val="000000"/>
          <w:w w:val="0"/>
          <w:sz w:val="24"/>
        </w:rPr>
        <w:fldChar w:fldCharType="begin"/>
      </w:r>
      <w:r>
        <w:rPr>
          <w:rStyle w:val="41"/>
          <w:rFonts w:eastAsia="楷体_GB2312"/>
          <w:color w:val="000000"/>
          <w:w w:val="0"/>
          <w:sz w:val="24"/>
          <w:u w:val="none"/>
        </w:rPr>
        <w:instrText xml:space="preserve"> REF _Ref201563930 \r \h  \* MERGEFORMAT </w:instrText>
      </w:r>
      <w:r>
        <w:rPr>
          <w:rFonts w:eastAsia="楷体_GB2312"/>
          <w:color w:val="000000"/>
          <w:w w:val="0"/>
          <w:sz w:val="24"/>
        </w:rPr>
        <w:fldChar w:fldCharType="separate"/>
      </w:r>
      <w:r>
        <w:rPr>
          <w:rStyle w:val="41"/>
          <w:rFonts w:eastAsia="楷体_GB2312"/>
          <w:color w:val="000000"/>
          <w:w w:val="0"/>
          <w:sz w:val="24"/>
          <w:u w:val="none"/>
        </w:rPr>
        <w:t>11</w:t>
      </w:r>
      <w:r>
        <w:rPr>
          <w:rFonts w:eastAsia="楷体_GB2312"/>
          <w:color w:val="000000"/>
          <w:w w:val="0"/>
          <w:sz w:val="24"/>
        </w:rPr>
        <w:fldChar w:fldCharType="end"/>
      </w:r>
      <w:r>
        <w:rPr>
          <w:rStyle w:val="41"/>
          <w:rFonts w:eastAsia="楷体_GB2312"/>
          <w:color w:val="000000"/>
          <w:w w:val="0"/>
          <w:sz w:val="24"/>
          <w:u w:val="none"/>
        </w:rPr>
        <w:t>条的约定就其享有的“信托受益权”取得“信托利益”。“受托人”通过“支付代理机构”向“资产支持证券持有人”支付“资产支持证券”的本金、利息或收益。</w:t>
      </w:r>
    </w:p>
    <w:p w14:paraId="384D7222">
      <w:pPr>
        <w:numPr>
          <w:ilvl w:val="1"/>
          <w:numId w:val="7"/>
        </w:numPr>
        <w:spacing w:line="360" w:lineRule="auto"/>
        <w:rPr>
          <w:rFonts w:eastAsia="楷体_GB2312"/>
          <w:b/>
          <w:color w:val="000000"/>
        </w:rPr>
      </w:pPr>
      <w:bookmarkStart w:id="391" w:name="_DV_M260"/>
      <w:bookmarkEnd w:id="391"/>
      <w:bookmarkStart w:id="392" w:name="_DV_M261"/>
      <w:bookmarkEnd w:id="392"/>
      <w:bookmarkStart w:id="393" w:name="_DV_M262"/>
      <w:bookmarkEnd w:id="393"/>
      <w:bookmarkStart w:id="394" w:name="_DV_M258"/>
      <w:bookmarkEnd w:id="394"/>
      <w:bookmarkStart w:id="395" w:name="_DV_M257"/>
      <w:bookmarkEnd w:id="395"/>
      <w:bookmarkStart w:id="396" w:name="_DV_M259"/>
      <w:bookmarkEnd w:id="396"/>
      <w:bookmarkStart w:id="397" w:name="_Ref449687237"/>
      <w:bookmarkStart w:id="398" w:name="_Ref201565513"/>
      <w:bookmarkStart w:id="399" w:name="_Toc201569409"/>
      <w:r>
        <w:rPr>
          <w:rFonts w:eastAsia="楷体_GB2312"/>
          <w:b/>
          <w:color w:val="000000"/>
          <w:sz w:val="24"/>
        </w:rPr>
        <w:t>优先级资产支持证券的基本特征</w:t>
      </w:r>
      <w:bookmarkEnd w:id="397"/>
    </w:p>
    <w:p w14:paraId="0E204CE9">
      <w:pPr>
        <w:numPr>
          <w:ilvl w:val="2"/>
          <w:numId w:val="7"/>
        </w:numPr>
        <w:spacing w:line="360" w:lineRule="auto"/>
        <w:rPr>
          <w:rFonts w:eastAsia="楷体_GB2312"/>
          <w:color w:val="000000"/>
          <w:sz w:val="24"/>
        </w:rPr>
      </w:pPr>
      <w:r>
        <w:rPr>
          <w:rFonts w:eastAsia="楷体_GB2312"/>
          <w:b/>
          <w:color w:val="000000"/>
          <w:sz w:val="24"/>
        </w:rPr>
        <w:t>“优先级资产支持证券”的比例：</w:t>
      </w:r>
      <w:r>
        <w:rPr>
          <w:rFonts w:eastAsia="楷体_GB2312"/>
          <w:color w:val="000000"/>
          <w:sz w:val="24"/>
        </w:rPr>
        <w:t>在“资产支持证券”“簿记建档日”，“优先级资产支持证券”的发行总量（面值）为人民币【】元，占发行总量（面值）的【】%。</w:t>
      </w:r>
    </w:p>
    <w:p w14:paraId="08332FDC">
      <w:pPr>
        <w:numPr>
          <w:ilvl w:val="2"/>
          <w:numId w:val="7"/>
        </w:numPr>
        <w:spacing w:line="360" w:lineRule="auto"/>
        <w:ind w:left="1701" w:hanging="708"/>
        <w:rPr>
          <w:rFonts w:eastAsia="楷体_GB2312"/>
          <w:color w:val="000000"/>
          <w:sz w:val="24"/>
        </w:rPr>
      </w:pPr>
      <w:r>
        <w:rPr>
          <w:rFonts w:eastAsia="楷体_GB2312"/>
          <w:b/>
          <w:color w:val="000000"/>
          <w:sz w:val="24"/>
        </w:rPr>
        <w:t>面值：</w:t>
      </w:r>
      <w:r>
        <w:rPr>
          <w:rFonts w:eastAsia="楷体_GB2312"/>
          <w:color w:val="000000"/>
          <w:sz w:val="24"/>
        </w:rPr>
        <w:t>每张“优先级资产支持证券”的面值为人民币100元。</w:t>
      </w:r>
    </w:p>
    <w:p w14:paraId="2EBFBAA7">
      <w:pPr>
        <w:numPr>
          <w:ilvl w:val="2"/>
          <w:numId w:val="7"/>
        </w:numPr>
        <w:spacing w:line="360" w:lineRule="auto"/>
        <w:ind w:left="1701" w:hanging="708"/>
        <w:rPr>
          <w:rFonts w:eastAsia="楷体_GB2312"/>
          <w:color w:val="000000"/>
          <w:sz w:val="24"/>
        </w:rPr>
      </w:pPr>
      <w:r>
        <w:rPr>
          <w:rFonts w:eastAsia="楷体_GB2312"/>
          <w:b/>
          <w:color w:val="000000"/>
          <w:sz w:val="24"/>
        </w:rPr>
        <w:t>发行价格：</w:t>
      </w:r>
      <w:r>
        <w:rPr>
          <w:rFonts w:eastAsia="楷体_GB2312"/>
          <w:color w:val="000000"/>
          <w:sz w:val="24"/>
        </w:rPr>
        <w:t>按面值发行。</w:t>
      </w:r>
    </w:p>
    <w:p w14:paraId="0C686732">
      <w:pPr>
        <w:numPr>
          <w:ilvl w:val="2"/>
          <w:numId w:val="7"/>
        </w:numPr>
        <w:spacing w:line="360" w:lineRule="auto"/>
        <w:ind w:left="1701" w:hanging="708"/>
        <w:rPr>
          <w:rFonts w:eastAsia="楷体_GB2312"/>
          <w:color w:val="000000"/>
          <w:sz w:val="24"/>
        </w:rPr>
      </w:pPr>
      <w:r>
        <w:rPr>
          <w:rFonts w:eastAsia="楷体_GB2312"/>
          <w:b/>
          <w:color w:val="000000"/>
          <w:sz w:val="24"/>
        </w:rPr>
        <w:t>票面利率：</w:t>
      </w:r>
      <w:r>
        <w:rPr>
          <w:rFonts w:eastAsia="楷体_GB2312"/>
          <w:color w:val="000000"/>
          <w:sz w:val="24"/>
        </w:rPr>
        <w:t>“票面利率”为【固定利率】，根据【“簿记建档”】结果确定。</w:t>
      </w:r>
    </w:p>
    <w:p w14:paraId="1C4BAA6E">
      <w:pPr>
        <w:numPr>
          <w:ilvl w:val="2"/>
          <w:numId w:val="7"/>
        </w:numPr>
        <w:spacing w:line="360" w:lineRule="auto"/>
        <w:ind w:left="1701" w:hanging="708"/>
        <w:rPr>
          <w:rStyle w:val="41"/>
          <w:rFonts w:eastAsia="楷体_GB2312"/>
          <w:color w:val="000000"/>
          <w:w w:val="0"/>
          <w:sz w:val="24"/>
          <w:u w:val="none"/>
        </w:rPr>
      </w:pPr>
      <w:r>
        <w:rPr>
          <w:rFonts w:eastAsia="楷体_GB2312"/>
          <w:b/>
          <w:color w:val="000000"/>
          <w:sz w:val="24"/>
        </w:rPr>
        <w:t>期限：</w:t>
      </w:r>
      <w:r>
        <w:rPr>
          <w:rFonts w:eastAsia="楷体_GB2312"/>
          <w:color w:val="000000"/>
          <w:sz w:val="24"/>
        </w:rPr>
        <w:t>自“信托生效日”（含该日）至“法定到期日”（不含该日）止。“法定到期日”并不是</w:t>
      </w:r>
      <w:r>
        <w:rPr>
          <w:rFonts w:eastAsia="楷体_GB2312"/>
          <w:bCs/>
          <w:color w:val="000000"/>
          <w:sz w:val="24"/>
        </w:rPr>
        <w:t>“</w:t>
      </w:r>
      <w:r>
        <w:rPr>
          <w:rFonts w:eastAsia="楷体_GB2312"/>
          <w:color w:val="000000"/>
          <w:sz w:val="24"/>
        </w:rPr>
        <w:t>优先级资产支持证券”的实际到期日，“优先级资产支持证券”的本金将可能于“法定到期日”前清偿完毕。</w:t>
      </w:r>
    </w:p>
    <w:p w14:paraId="1DD5F975">
      <w:pPr>
        <w:numPr>
          <w:ilvl w:val="2"/>
          <w:numId w:val="7"/>
        </w:numPr>
        <w:spacing w:line="360" w:lineRule="auto"/>
        <w:ind w:left="1701" w:hanging="708"/>
        <w:rPr>
          <w:rFonts w:eastAsia="楷体_GB2312"/>
          <w:color w:val="000000"/>
          <w:w w:val="0"/>
        </w:rPr>
      </w:pPr>
      <w:r>
        <w:rPr>
          <w:rStyle w:val="41"/>
          <w:rFonts w:eastAsia="楷体_GB2312"/>
          <w:b/>
          <w:color w:val="000000"/>
          <w:w w:val="0"/>
          <w:sz w:val="24"/>
          <w:u w:val="none"/>
        </w:rPr>
        <w:t>法定到期</w:t>
      </w:r>
      <w:r>
        <w:rPr>
          <w:rStyle w:val="41"/>
          <w:rFonts w:eastAsia="楷体_GB2312"/>
          <w:b/>
          <w:bCs/>
          <w:color w:val="000000"/>
          <w:w w:val="0"/>
          <w:sz w:val="24"/>
          <w:u w:val="none"/>
        </w:rPr>
        <w:t>日</w:t>
      </w:r>
      <w:r>
        <w:rPr>
          <w:rStyle w:val="41"/>
          <w:rFonts w:eastAsia="楷体_GB2312"/>
          <w:color w:val="000000"/>
          <w:w w:val="0"/>
          <w:sz w:val="24"/>
          <w:u w:val="none"/>
        </w:rPr>
        <w:t>：【】。</w:t>
      </w:r>
    </w:p>
    <w:p w14:paraId="34CFB986">
      <w:pPr>
        <w:numPr>
          <w:ilvl w:val="2"/>
          <w:numId w:val="7"/>
        </w:numPr>
        <w:spacing w:line="360" w:lineRule="auto"/>
        <w:ind w:left="1701" w:hanging="708"/>
        <w:rPr>
          <w:rFonts w:eastAsia="楷体_GB2312"/>
          <w:color w:val="000000"/>
          <w:sz w:val="24"/>
        </w:rPr>
      </w:pPr>
      <w:r>
        <w:rPr>
          <w:rFonts w:eastAsia="楷体_GB2312"/>
          <w:b/>
          <w:color w:val="000000"/>
          <w:sz w:val="24"/>
        </w:rPr>
        <w:t>计息期间：</w:t>
      </w:r>
      <w:r>
        <w:rPr>
          <w:rFonts w:eastAsia="楷体_GB2312"/>
          <w:color w:val="000000"/>
          <w:sz w:val="24"/>
        </w:rPr>
        <w:t>一个“计息日”（含该日）到下一个“计息日”（不含该日）的期间。其</w:t>
      </w:r>
      <w:r>
        <w:rPr>
          <w:rFonts w:eastAsia="楷体_GB2312"/>
          <w:sz w:val="24"/>
        </w:rPr>
        <w:t>中，第一个“计息期间”指“起息日”（含该日）至第一个“计息日”（不含该日）的期间。</w:t>
      </w:r>
    </w:p>
    <w:p w14:paraId="200D101D">
      <w:pPr>
        <w:numPr>
          <w:ilvl w:val="2"/>
          <w:numId w:val="7"/>
        </w:numPr>
        <w:spacing w:line="360" w:lineRule="auto"/>
        <w:ind w:left="1701" w:hanging="708"/>
        <w:rPr>
          <w:rFonts w:eastAsia="楷体_GB2312"/>
          <w:color w:val="000000"/>
        </w:rPr>
      </w:pPr>
      <w:r>
        <w:rPr>
          <w:rFonts w:eastAsia="楷体_GB2312"/>
          <w:b/>
          <w:color w:val="000000"/>
          <w:sz w:val="24"/>
        </w:rPr>
        <w:t>计息及付息方式：</w:t>
      </w:r>
      <w:r>
        <w:rPr>
          <w:rFonts w:eastAsia="楷体_GB2312"/>
          <w:color w:val="000000"/>
          <w:sz w:val="24"/>
        </w:rPr>
        <w:t>在每一个“支付日”“优先级资产支持证券”的利息=“优先级资产支持证券”在该“支付日”本金兑付前的“未偿本金余额”（就第一个“支付日”而言，即“优先级资产支持证券”在“信托生效日”的面值）×票面利率×“计息期间”实际天数÷365；尾数计算到分，分以下四舍五入；单利计息。在每一个“支付日”根据本合同第</w:t>
      </w:r>
      <w:r>
        <w:rPr>
          <w:rFonts w:eastAsia="楷体_GB2312"/>
          <w:color w:val="000000"/>
          <w:sz w:val="24"/>
        </w:rPr>
        <w:fldChar w:fldCharType="begin"/>
      </w:r>
      <w:r>
        <w:rPr>
          <w:rFonts w:eastAsia="楷体_GB2312"/>
          <w:color w:val="000000"/>
          <w:sz w:val="24"/>
        </w:rPr>
        <w:instrText xml:space="preserve"> REF _Ref449359897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条约定的支付顺序进行付息。</w:t>
      </w:r>
    </w:p>
    <w:p w14:paraId="302FF87C">
      <w:pPr>
        <w:numPr>
          <w:ilvl w:val="2"/>
          <w:numId w:val="7"/>
        </w:numPr>
        <w:spacing w:line="360" w:lineRule="auto"/>
        <w:ind w:left="1701" w:hanging="708"/>
        <w:rPr>
          <w:rFonts w:eastAsia="楷体_GB2312"/>
          <w:color w:val="000000"/>
          <w:sz w:val="24"/>
        </w:rPr>
      </w:pPr>
      <w:r>
        <w:rPr>
          <w:rFonts w:eastAsia="楷体_GB2312"/>
          <w:b/>
          <w:color w:val="000000"/>
          <w:sz w:val="24"/>
        </w:rPr>
        <w:t>还本方式：</w:t>
      </w:r>
      <w:r>
        <w:rPr>
          <w:rFonts w:eastAsia="楷体_GB2312"/>
          <w:color w:val="000000"/>
          <w:sz w:val="24"/>
        </w:rPr>
        <w:t>在每一个“支付日”根据本合同第</w:t>
      </w:r>
      <w:r>
        <w:rPr>
          <w:rFonts w:eastAsia="楷体_GB2312"/>
          <w:color w:val="000000"/>
        </w:rPr>
        <w:fldChar w:fldCharType="begin"/>
      </w:r>
      <w:r>
        <w:rPr>
          <w:rFonts w:eastAsia="楷体_GB2312"/>
          <w:color w:val="000000"/>
        </w:rPr>
        <w:instrText xml:space="preserve"> 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条约定的支付顺序进行还本。本金还款金额的计算方式按照本合同约定的“资产支持证券”本金还款金额计算方式（见本合同</w:t>
      </w:r>
      <w:r>
        <w:rPr>
          <w:rFonts w:eastAsia="楷体_GB2312"/>
          <w:b/>
          <w:i/>
          <w:iCs/>
          <w:color w:val="000000"/>
          <w:sz w:val="24"/>
        </w:rPr>
        <w:t>附件五</w:t>
      </w:r>
      <w:r>
        <w:rPr>
          <w:rFonts w:eastAsia="楷体_GB2312"/>
          <w:color w:val="000000"/>
          <w:sz w:val="24"/>
        </w:rPr>
        <w:t>）进行。</w:t>
      </w:r>
    </w:p>
    <w:p w14:paraId="3B5C7F9E">
      <w:pPr>
        <w:numPr>
          <w:ilvl w:val="2"/>
          <w:numId w:val="7"/>
        </w:numPr>
        <w:spacing w:line="360" w:lineRule="auto"/>
        <w:ind w:left="1701" w:hanging="708"/>
        <w:rPr>
          <w:rFonts w:eastAsia="楷体_GB2312"/>
          <w:color w:val="000000"/>
        </w:rPr>
      </w:pPr>
      <w:r>
        <w:rPr>
          <w:rFonts w:eastAsia="楷体_GB2312"/>
          <w:b/>
          <w:color w:val="000000"/>
          <w:sz w:val="24"/>
        </w:rPr>
        <w:t>证券形式：</w:t>
      </w:r>
      <w:r>
        <w:rPr>
          <w:rFonts w:eastAsia="楷体_GB2312"/>
          <w:color w:val="000000"/>
          <w:sz w:val="24"/>
        </w:rPr>
        <w:t>采用实名记账方式，由“登记托管机构”统一托管。</w:t>
      </w:r>
    </w:p>
    <w:p w14:paraId="6698B0AE">
      <w:pPr>
        <w:numPr>
          <w:ilvl w:val="2"/>
          <w:numId w:val="7"/>
        </w:numPr>
        <w:spacing w:line="360" w:lineRule="auto"/>
        <w:ind w:left="1701" w:hanging="708"/>
        <w:rPr>
          <w:rFonts w:eastAsia="楷体_GB2312"/>
          <w:color w:val="000000"/>
          <w:sz w:val="24"/>
        </w:rPr>
      </w:pPr>
      <w:r>
        <w:rPr>
          <w:rFonts w:eastAsia="楷体_GB2312"/>
          <w:b/>
          <w:color w:val="000000"/>
          <w:sz w:val="24"/>
        </w:rPr>
        <w:t>税收：</w:t>
      </w:r>
      <w:r>
        <w:rPr>
          <w:rFonts w:eastAsia="楷体_GB2312"/>
          <w:color w:val="000000"/>
          <w:sz w:val="24"/>
        </w:rPr>
        <w:t>有关“优先级资产支持证券”本金和利息的所有付款，如须依照适用的</w:t>
      </w:r>
      <w:r>
        <w:rPr>
          <w:rFonts w:eastAsia="楷体_GB2312"/>
          <w:bCs/>
          <w:color w:val="000000"/>
          <w:sz w:val="24"/>
        </w:rPr>
        <w:t>“</w:t>
      </w:r>
      <w:r>
        <w:rPr>
          <w:rFonts w:eastAsia="楷体_GB2312"/>
          <w:color w:val="000000"/>
          <w:sz w:val="24"/>
        </w:rPr>
        <w:t>中国”“法律”预提或扣除任何“税费”，则“受托人”可以直接在“优先级资产支持证券”本金和利息中予以预提或扣除。</w:t>
      </w:r>
    </w:p>
    <w:p w14:paraId="0ABEECB7">
      <w:pPr>
        <w:numPr>
          <w:ilvl w:val="2"/>
          <w:numId w:val="7"/>
        </w:numPr>
        <w:spacing w:line="360" w:lineRule="auto"/>
        <w:ind w:left="1701" w:hanging="708"/>
        <w:rPr>
          <w:rFonts w:eastAsia="楷体_GB2312"/>
          <w:color w:val="000000"/>
        </w:rPr>
      </w:pPr>
      <w:r>
        <w:rPr>
          <w:rFonts w:eastAsia="楷体_GB2312"/>
          <w:b/>
          <w:color w:val="000000"/>
          <w:sz w:val="24"/>
        </w:rPr>
        <w:t>币种：</w:t>
      </w:r>
      <w:r>
        <w:rPr>
          <w:rFonts w:eastAsia="楷体_GB2312"/>
          <w:color w:val="000000"/>
          <w:sz w:val="24"/>
        </w:rPr>
        <w:t>人民币。</w:t>
      </w:r>
    </w:p>
    <w:p w14:paraId="598BD25D">
      <w:pPr>
        <w:numPr>
          <w:ilvl w:val="2"/>
          <w:numId w:val="7"/>
        </w:numPr>
        <w:spacing w:line="360" w:lineRule="auto"/>
        <w:ind w:left="1701" w:hanging="708"/>
        <w:rPr>
          <w:rFonts w:eastAsia="楷体_GB2312"/>
          <w:color w:val="000000"/>
          <w:sz w:val="24"/>
        </w:rPr>
      </w:pPr>
      <w:r>
        <w:rPr>
          <w:rFonts w:eastAsia="楷体_GB2312"/>
          <w:b/>
          <w:color w:val="000000"/>
          <w:sz w:val="24"/>
        </w:rPr>
        <w:t>信用级别：</w:t>
      </w:r>
      <w:r>
        <w:rPr>
          <w:rFonts w:eastAsia="楷体_GB2312"/>
          <w:color w:val="000000"/>
          <w:sz w:val="24"/>
        </w:rPr>
        <w:t>在“资产支持证券”发行之日，“【评级机构1简称】”给予“优先级资产支持证券”的信用级别为【】</w:t>
      </w:r>
      <w:r>
        <w:rPr>
          <w:rFonts w:eastAsia="楷体_GB2312"/>
          <w:color w:val="000000"/>
          <w:sz w:val="24"/>
          <w:vertAlign w:val="subscript"/>
        </w:rPr>
        <w:t>sf</w:t>
      </w:r>
      <w:r>
        <w:rPr>
          <w:rFonts w:eastAsia="楷体_GB2312"/>
          <w:color w:val="000000"/>
          <w:sz w:val="24"/>
        </w:rPr>
        <w:t>级，“【评级机构2简称】”给予“优先级资产支持证券”的信用级别为【】</w:t>
      </w:r>
      <w:r>
        <w:rPr>
          <w:rFonts w:eastAsia="楷体_GB2312"/>
          <w:color w:val="000000"/>
          <w:sz w:val="24"/>
          <w:vertAlign w:val="subscript"/>
        </w:rPr>
        <w:t>sf</w:t>
      </w:r>
      <w:r>
        <w:rPr>
          <w:rFonts w:eastAsia="楷体_GB2312"/>
          <w:color w:val="000000"/>
          <w:sz w:val="24"/>
        </w:rPr>
        <w:t>级。</w:t>
      </w:r>
    </w:p>
    <w:p w14:paraId="6412283A">
      <w:pPr>
        <w:numPr>
          <w:ilvl w:val="1"/>
          <w:numId w:val="7"/>
        </w:numPr>
        <w:spacing w:line="360" w:lineRule="auto"/>
        <w:rPr>
          <w:rFonts w:eastAsia="楷体_GB2312"/>
          <w:b/>
          <w:color w:val="000000"/>
          <w:sz w:val="24"/>
        </w:rPr>
      </w:pPr>
      <w:bookmarkStart w:id="400" w:name="_Ref340392843"/>
      <w:r>
        <w:rPr>
          <w:rFonts w:eastAsia="楷体_GB2312"/>
          <w:b/>
          <w:color w:val="000000"/>
          <w:sz w:val="24"/>
        </w:rPr>
        <w:t>次级资产支持证券的基本特征</w:t>
      </w:r>
      <w:bookmarkEnd w:id="400"/>
    </w:p>
    <w:p w14:paraId="279E2F3C">
      <w:pPr>
        <w:numPr>
          <w:ilvl w:val="2"/>
          <w:numId w:val="7"/>
        </w:numPr>
        <w:spacing w:line="360" w:lineRule="auto"/>
        <w:ind w:left="1701" w:hanging="708"/>
        <w:rPr>
          <w:rFonts w:eastAsia="楷体_GB2312"/>
          <w:color w:val="000000"/>
          <w:sz w:val="24"/>
        </w:rPr>
      </w:pPr>
      <w:r>
        <w:rPr>
          <w:rFonts w:eastAsia="楷体_GB2312"/>
          <w:b/>
          <w:bCs/>
          <w:color w:val="000000"/>
          <w:sz w:val="24"/>
        </w:rPr>
        <w:t>“</w:t>
      </w:r>
      <w:r>
        <w:rPr>
          <w:rFonts w:eastAsia="楷体_GB2312"/>
          <w:b/>
          <w:color w:val="000000"/>
          <w:sz w:val="24"/>
        </w:rPr>
        <w:t>次级资产支持证券</w:t>
      </w:r>
      <w:r>
        <w:rPr>
          <w:rFonts w:eastAsia="楷体_GB2312"/>
          <w:b/>
          <w:bCs/>
          <w:color w:val="000000"/>
          <w:sz w:val="24"/>
        </w:rPr>
        <w:t>”</w:t>
      </w:r>
      <w:r>
        <w:rPr>
          <w:rFonts w:eastAsia="楷体_GB2312"/>
          <w:b/>
          <w:color w:val="000000"/>
          <w:sz w:val="24"/>
        </w:rPr>
        <w:t>的发行总量与比例：</w:t>
      </w:r>
      <w:r>
        <w:rPr>
          <w:rFonts w:eastAsia="楷体_GB2312"/>
          <w:color w:val="000000"/>
          <w:sz w:val="24"/>
        </w:rPr>
        <w:t>在“资产支持证券”“簿记建档日”，</w:t>
      </w:r>
      <w:r>
        <w:rPr>
          <w:rFonts w:eastAsia="楷体_GB2312"/>
          <w:bCs/>
          <w:color w:val="000000"/>
          <w:sz w:val="24"/>
        </w:rPr>
        <w:t>“</w:t>
      </w:r>
      <w:r>
        <w:rPr>
          <w:rFonts w:eastAsia="楷体_GB2312"/>
          <w:color w:val="000000"/>
          <w:sz w:val="24"/>
        </w:rPr>
        <w:t>次级资产支持证券</w:t>
      </w:r>
      <w:r>
        <w:rPr>
          <w:rFonts w:eastAsia="楷体_GB2312"/>
          <w:bCs/>
          <w:color w:val="000000"/>
          <w:sz w:val="24"/>
        </w:rPr>
        <w:t>”的发行总量（面值）为人民币</w:t>
      </w:r>
      <w:r>
        <w:rPr>
          <w:rFonts w:eastAsia="楷体_GB2312"/>
          <w:color w:val="000000"/>
          <w:sz w:val="24"/>
        </w:rPr>
        <w:t>【】元</w:t>
      </w:r>
      <w:r>
        <w:rPr>
          <w:rFonts w:eastAsia="楷体_GB2312"/>
          <w:bCs/>
          <w:color w:val="000000"/>
          <w:sz w:val="24"/>
        </w:rPr>
        <w:t>，</w:t>
      </w:r>
      <w:r>
        <w:rPr>
          <w:rFonts w:eastAsia="楷体_GB2312"/>
          <w:color w:val="000000"/>
          <w:sz w:val="24"/>
        </w:rPr>
        <w:t>占“资产支持证券”发行总量（面值）的【】%。</w:t>
      </w:r>
    </w:p>
    <w:p w14:paraId="7A86D56E">
      <w:pPr>
        <w:numPr>
          <w:ilvl w:val="2"/>
          <w:numId w:val="7"/>
        </w:numPr>
        <w:spacing w:line="360" w:lineRule="auto"/>
        <w:ind w:left="1701" w:hanging="708"/>
        <w:rPr>
          <w:rFonts w:eastAsia="楷体_GB2312"/>
          <w:color w:val="000000"/>
        </w:rPr>
      </w:pPr>
      <w:r>
        <w:rPr>
          <w:rFonts w:eastAsia="楷体_GB2312"/>
          <w:b/>
          <w:color w:val="000000"/>
          <w:sz w:val="24"/>
        </w:rPr>
        <w:t>面值：</w:t>
      </w:r>
      <w:r>
        <w:rPr>
          <w:rFonts w:eastAsia="楷体_GB2312"/>
          <w:color w:val="000000"/>
          <w:sz w:val="24"/>
        </w:rPr>
        <w:t>每张</w:t>
      </w:r>
      <w:r>
        <w:rPr>
          <w:rFonts w:eastAsia="楷体_GB2312"/>
          <w:bCs/>
          <w:color w:val="000000"/>
          <w:sz w:val="24"/>
        </w:rPr>
        <w:t>“</w:t>
      </w:r>
      <w:r>
        <w:rPr>
          <w:rFonts w:eastAsia="楷体_GB2312"/>
          <w:color w:val="000000"/>
          <w:sz w:val="24"/>
        </w:rPr>
        <w:t>次级资产支持证券</w:t>
      </w:r>
      <w:r>
        <w:rPr>
          <w:rFonts w:eastAsia="楷体_GB2312"/>
          <w:bCs/>
          <w:color w:val="000000"/>
          <w:sz w:val="24"/>
        </w:rPr>
        <w:t>”</w:t>
      </w:r>
      <w:r>
        <w:rPr>
          <w:rFonts w:eastAsia="楷体_GB2312"/>
          <w:color w:val="000000"/>
          <w:sz w:val="24"/>
        </w:rPr>
        <w:t>的面值为人民币100元。</w:t>
      </w:r>
    </w:p>
    <w:p w14:paraId="21B6C57D">
      <w:pPr>
        <w:numPr>
          <w:ilvl w:val="2"/>
          <w:numId w:val="7"/>
        </w:numPr>
        <w:spacing w:line="360" w:lineRule="auto"/>
        <w:ind w:left="1701" w:hanging="708"/>
        <w:rPr>
          <w:rFonts w:eastAsia="楷体_GB2312"/>
          <w:color w:val="000000"/>
        </w:rPr>
      </w:pPr>
      <w:r>
        <w:rPr>
          <w:rFonts w:eastAsia="楷体_GB2312"/>
          <w:b/>
          <w:color w:val="000000"/>
          <w:sz w:val="24"/>
        </w:rPr>
        <w:t>发行价格：</w:t>
      </w:r>
      <w:r>
        <w:rPr>
          <w:rFonts w:eastAsia="楷体_GB2312"/>
          <w:color w:val="000000"/>
          <w:sz w:val="24"/>
        </w:rPr>
        <w:t>以按照“发行文件”约定方式发行的结果为准。</w:t>
      </w:r>
    </w:p>
    <w:p w14:paraId="7BC30EDE">
      <w:pPr>
        <w:numPr>
          <w:ilvl w:val="2"/>
          <w:numId w:val="7"/>
        </w:numPr>
        <w:spacing w:line="360" w:lineRule="auto"/>
        <w:ind w:left="1701" w:hanging="708"/>
        <w:rPr>
          <w:rFonts w:eastAsia="楷体_GB2312"/>
          <w:color w:val="000000"/>
        </w:rPr>
      </w:pPr>
      <w:r>
        <w:rPr>
          <w:rFonts w:eastAsia="楷体_GB2312"/>
          <w:b/>
          <w:color w:val="000000"/>
          <w:sz w:val="24"/>
        </w:rPr>
        <w:t>票面利率：</w:t>
      </w:r>
      <w:r>
        <w:rPr>
          <w:rFonts w:eastAsia="楷体_GB2312"/>
          <w:color w:val="000000"/>
          <w:sz w:val="24"/>
        </w:rPr>
        <w:t>无票面利率。</w:t>
      </w:r>
    </w:p>
    <w:p w14:paraId="051E5F47">
      <w:pPr>
        <w:numPr>
          <w:ilvl w:val="2"/>
          <w:numId w:val="7"/>
        </w:numPr>
        <w:spacing w:line="360" w:lineRule="auto"/>
        <w:ind w:left="1701" w:hanging="708"/>
        <w:rPr>
          <w:rFonts w:eastAsia="楷体_GB2312"/>
          <w:color w:val="000000"/>
          <w:sz w:val="24"/>
        </w:rPr>
      </w:pPr>
      <w:r>
        <w:rPr>
          <w:rFonts w:eastAsia="楷体_GB2312"/>
          <w:b/>
          <w:color w:val="000000"/>
          <w:sz w:val="24"/>
        </w:rPr>
        <w:t>期限：</w:t>
      </w:r>
      <w:r>
        <w:rPr>
          <w:rFonts w:eastAsia="楷体_GB2312"/>
          <w:color w:val="000000"/>
          <w:sz w:val="24"/>
        </w:rPr>
        <w:t>自“信托生效日”（含该日）至“法定到期日”（不含该日）止。“法定到期日”并不是</w:t>
      </w:r>
      <w:r>
        <w:rPr>
          <w:rFonts w:eastAsia="楷体_GB2312"/>
          <w:bCs/>
          <w:color w:val="000000"/>
          <w:sz w:val="24"/>
        </w:rPr>
        <w:t>“</w:t>
      </w:r>
      <w:r>
        <w:rPr>
          <w:rFonts w:eastAsia="楷体_GB2312"/>
          <w:color w:val="000000"/>
          <w:sz w:val="24"/>
        </w:rPr>
        <w:t>次级资产支持证券</w:t>
      </w:r>
      <w:r>
        <w:rPr>
          <w:rFonts w:eastAsia="楷体_GB2312"/>
          <w:bCs/>
          <w:color w:val="000000"/>
          <w:sz w:val="24"/>
        </w:rPr>
        <w:t>”</w:t>
      </w:r>
      <w:r>
        <w:rPr>
          <w:rFonts w:eastAsia="楷体_GB2312"/>
          <w:color w:val="000000"/>
          <w:sz w:val="24"/>
        </w:rPr>
        <w:t>的实际到期日，“次级资产支持证券</w:t>
      </w:r>
      <w:r>
        <w:rPr>
          <w:rFonts w:eastAsia="楷体_GB2312"/>
          <w:bCs/>
          <w:color w:val="000000"/>
          <w:sz w:val="24"/>
        </w:rPr>
        <w:t>”</w:t>
      </w:r>
      <w:r>
        <w:rPr>
          <w:rFonts w:eastAsia="楷体_GB2312"/>
          <w:color w:val="000000"/>
          <w:sz w:val="24"/>
        </w:rPr>
        <w:t>的本金将可能于“法定到期日”前清偿完毕。</w:t>
      </w:r>
    </w:p>
    <w:p w14:paraId="7939C762">
      <w:pPr>
        <w:numPr>
          <w:ilvl w:val="2"/>
          <w:numId w:val="7"/>
        </w:numPr>
        <w:spacing w:line="360" w:lineRule="auto"/>
        <w:ind w:left="1701" w:hanging="708"/>
        <w:rPr>
          <w:rFonts w:eastAsia="楷体_GB2312"/>
          <w:color w:val="000000"/>
          <w:w w:val="0"/>
        </w:rPr>
      </w:pPr>
      <w:r>
        <w:rPr>
          <w:rFonts w:eastAsia="楷体_GB2312"/>
          <w:b/>
          <w:color w:val="000000"/>
          <w:sz w:val="24"/>
        </w:rPr>
        <w:t>法定到期日：</w:t>
      </w:r>
      <w:r>
        <w:rPr>
          <w:rFonts w:eastAsia="楷体_GB2312"/>
          <w:color w:val="000000"/>
          <w:sz w:val="24"/>
        </w:rPr>
        <w:t>【】</w:t>
      </w:r>
      <w:r>
        <w:rPr>
          <w:rFonts w:eastAsia="楷体_GB2312"/>
        </w:rPr>
        <w:t>。</w:t>
      </w:r>
    </w:p>
    <w:p w14:paraId="38A2FB54">
      <w:pPr>
        <w:numPr>
          <w:ilvl w:val="2"/>
          <w:numId w:val="7"/>
        </w:numPr>
        <w:spacing w:line="360" w:lineRule="auto"/>
        <w:ind w:left="1701" w:hanging="708"/>
        <w:rPr>
          <w:rFonts w:eastAsia="楷体_GB2312"/>
          <w:sz w:val="24"/>
        </w:rPr>
      </w:pPr>
      <w:r>
        <w:rPr>
          <w:rFonts w:eastAsia="楷体_GB2312"/>
          <w:b/>
          <w:sz w:val="24"/>
        </w:rPr>
        <w:t>期间收益计算方式：</w:t>
      </w:r>
      <w:r>
        <w:rPr>
          <w:rFonts w:eastAsia="楷体_GB2312"/>
          <w:b/>
          <w:i/>
          <w:iCs/>
          <w:color w:val="FF0000"/>
          <w:sz w:val="24"/>
        </w:rPr>
        <w:t>【注：可结合项目需要补充次级的期间收益计算方式（如需）】</w:t>
      </w:r>
      <w:r>
        <w:rPr>
          <w:rFonts w:eastAsia="楷体_GB2312"/>
          <w:sz w:val="24"/>
        </w:rPr>
        <w:t>。</w:t>
      </w:r>
    </w:p>
    <w:p w14:paraId="5F90A1C0">
      <w:pPr>
        <w:numPr>
          <w:ilvl w:val="2"/>
          <w:numId w:val="7"/>
        </w:numPr>
        <w:spacing w:line="360" w:lineRule="auto"/>
        <w:ind w:left="1701" w:hanging="708"/>
        <w:rPr>
          <w:rFonts w:eastAsia="楷体_GB2312"/>
          <w:color w:val="000000"/>
        </w:rPr>
      </w:pPr>
      <w:r>
        <w:rPr>
          <w:rFonts w:eastAsia="楷体_GB2312"/>
          <w:b/>
          <w:color w:val="000000"/>
          <w:sz w:val="24"/>
        </w:rPr>
        <w:t>收益支付方式：</w:t>
      </w:r>
      <w:r>
        <w:rPr>
          <w:rFonts w:eastAsia="楷体_GB2312"/>
          <w:color w:val="000000"/>
          <w:sz w:val="24"/>
        </w:rPr>
        <w:t>根据本合同第</w:t>
      </w:r>
      <w:r>
        <w:rPr>
          <w:rFonts w:eastAsia="楷体_GB2312"/>
          <w:color w:val="000000"/>
          <w:sz w:val="24"/>
        </w:rPr>
        <w:fldChar w:fldCharType="begin"/>
      </w:r>
      <w:r>
        <w:rPr>
          <w:rFonts w:eastAsia="楷体_GB2312"/>
          <w:color w:val="000000"/>
          <w:sz w:val="24"/>
        </w:rPr>
        <w:instrText xml:space="preserve"> REF _Ref449359897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条约定的支付顺序进行收益的支付。</w:t>
      </w:r>
    </w:p>
    <w:p w14:paraId="4A9A3397">
      <w:pPr>
        <w:numPr>
          <w:ilvl w:val="2"/>
          <w:numId w:val="7"/>
        </w:numPr>
        <w:spacing w:line="360" w:lineRule="auto"/>
        <w:ind w:left="1701" w:hanging="708"/>
        <w:rPr>
          <w:rFonts w:eastAsia="楷体_GB2312"/>
          <w:color w:val="000000"/>
          <w:sz w:val="24"/>
        </w:rPr>
      </w:pPr>
      <w:r>
        <w:rPr>
          <w:rFonts w:eastAsia="楷体_GB2312"/>
          <w:b/>
          <w:color w:val="000000"/>
          <w:sz w:val="24"/>
        </w:rPr>
        <w:t>还本方式：</w:t>
      </w:r>
      <w:r>
        <w:rPr>
          <w:rFonts w:eastAsia="楷体_GB2312"/>
          <w:color w:val="000000"/>
          <w:sz w:val="24"/>
        </w:rPr>
        <w:t>根据本合同第</w:t>
      </w:r>
      <w:r>
        <w:rPr>
          <w:rFonts w:eastAsia="楷体_GB2312"/>
          <w:color w:val="000000"/>
        </w:rPr>
        <w:fldChar w:fldCharType="begin"/>
      </w:r>
      <w:r>
        <w:rPr>
          <w:rFonts w:eastAsia="楷体_GB2312"/>
          <w:color w:val="000000"/>
        </w:rPr>
        <w:instrText xml:space="preserve"> 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条约定的支付顺序进行支付。本金还款金额的计算方式按照本合同约定的“资产支持证券”本金还款金额计算方式（见本合同</w:t>
      </w:r>
      <w:r>
        <w:rPr>
          <w:rFonts w:eastAsia="楷体_GB2312"/>
          <w:b/>
          <w:i/>
          <w:iCs/>
          <w:color w:val="000000"/>
          <w:sz w:val="24"/>
        </w:rPr>
        <w:t>附件五</w:t>
      </w:r>
      <w:r>
        <w:rPr>
          <w:rFonts w:eastAsia="楷体_GB2312"/>
          <w:color w:val="000000"/>
          <w:sz w:val="24"/>
        </w:rPr>
        <w:t>）进行。</w:t>
      </w:r>
    </w:p>
    <w:p w14:paraId="18BA16D4">
      <w:pPr>
        <w:numPr>
          <w:ilvl w:val="2"/>
          <w:numId w:val="7"/>
        </w:numPr>
        <w:spacing w:line="360" w:lineRule="auto"/>
        <w:ind w:left="1701" w:hanging="708"/>
        <w:rPr>
          <w:rFonts w:eastAsia="楷体_GB2312"/>
          <w:color w:val="000000"/>
        </w:rPr>
      </w:pPr>
      <w:r>
        <w:rPr>
          <w:rFonts w:eastAsia="楷体_GB2312"/>
          <w:b/>
          <w:color w:val="000000"/>
          <w:sz w:val="24"/>
        </w:rPr>
        <w:t>证券形式：</w:t>
      </w:r>
      <w:r>
        <w:rPr>
          <w:rFonts w:eastAsia="楷体_GB2312"/>
          <w:color w:val="000000"/>
          <w:sz w:val="24"/>
        </w:rPr>
        <w:t>采用实名记账方式，由“登记托管机构”统一托管。</w:t>
      </w:r>
    </w:p>
    <w:p w14:paraId="360A76DE">
      <w:pPr>
        <w:numPr>
          <w:ilvl w:val="2"/>
          <w:numId w:val="7"/>
        </w:numPr>
        <w:spacing w:line="360" w:lineRule="auto"/>
        <w:ind w:left="1701" w:hanging="708"/>
        <w:rPr>
          <w:rFonts w:eastAsia="楷体_GB2312"/>
          <w:color w:val="000000"/>
          <w:sz w:val="24"/>
        </w:rPr>
      </w:pPr>
      <w:r>
        <w:rPr>
          <w:rFonts w:eastAsia="楷体_GB2312"/>
          <w:b/>
          <w:color w:val="000000"/>
          <w:sz w:val="24"/>
        </w:rPr>
        <w:t>税收：</w:t>
      </w:r>
      <w:r>
        <w:rPr>
          <w:rFonts w:eastAsia="楷体_GB2312"/>
          <w:color w:val="000000"/>
          <w:sz w:val="24"/>
        </w:rPr>
        <w:t>有关“次级资产支持证券”本金和收益的所有付款，如须依照适用的</w:t>
      </w:r>
      <w:r>
        <w:rPr>
          <w:rFonts w:eastAsia="楷体_GB2312"/>
          <w:bCs/>
          <w:color w:val="000000"/>
          <w:sz w:val="24"/>
        </w:rPr>
        <w:t>“</w:t>
      </w:r>
      <w:r>
        <w:rPr>
          <w:rFonts w:eastAsia="楷体_GB2312"/>
          <w:color w:val="000000"/>
          <w:sz w:val="24"/>
        </w:rPr>
        <w:t>中国”“法律”预提或扣除任何“税费”，则“受托人”可以直接在“次级资产支持证券”本金和利息中予以预提或扣除。</w:t>
      </w:r>
    </w:p>
    <w:p w14:paraId="4A7EF0CC">
      <w:pPr>
        <w:numPr>
          <w:ilvl w:val="2"/>
          <w:numId w:val="7"/>
        </w:numPr>
        <w:spacing w:line="360" w:lineRule="auto"/>
        <w:ind w:left="1701" w:hanging="708"/>
        <w:rPr>
          <w:rFonts w:eastAsia="楷体_GB2312"/>
          <w:color w:val="000000"/>
        </w:rPr>
      </w:pPr>
      <w:r>
        <w:rPr>
          <w:rFonts w:eastAsia="楷体_GB2312"/>
          <w:b/>
          <w:color w:val="000000"/>
          <w:sz w:val="24"/>
        </w:rPr>
        <w:t>币种：</w:t>
      </w:r>
      <w:r>
        <w:rPr>
          <w:rFonts w:eastAsia="楷体_GB2312"/>
          <w:color w:val="000000"/>
          <w:sz w:val="24"/>
        </w:rPr>
        <w:t>人民币。</w:t>
      </w:r>
    </w:p>
    <w:p w14:paraId="02E8AD43">
      <w:pPr>
        <w:numPr>
          <w:ilvl w:val="2"/>
          <w:numId w:val="7"/>
        </w:numPr>
        <w:spacing w:line="360" w:lineRule="auto"/>
        <w:ind w:left="1701" w:hanging="708"/>
        <w:rPr>
          <w:rFonts w:eastAsia="楷体_GB2312"/>
          <w:color w:val="000000"/>
          <w:sz w:val="24"/>
        </w:rPr>
      </w:pPr>
      <w:r>
        <w:rPr>
          <w:rFonts w:eastAsia="楷体_GB2312"/>
          <w:b/>
          <w:color w:val="000000"/>
          <w:sz w:val="24"/>
        </w:rPr>
        <w:t>信用级别：</w:t>
      </w:r>
      <w:r>
        <w:rPr>
          <w:rFonts w:eastAsia="楷体_GB2312"/>
          <w:bCs/>
          <w:color w:val="000000"/>
          <w:sz w:val="24"/>
        </w:rPr>
        <w:t>“</w:t>
      </w:r>
      <w:r>
        <w:rPr>
          <w:rFonts w:eastAsia="楷体_GB2312"/>
          <w:color w:val="000000"/>
          <w:sz w:val="24"/>
        </w:rPr>
        <w:t>次级资产支持证券</w:t>
      </w:r>
      <w:r>
        <w:rPr>
          <w:rFonts w:eastAsia="楷体_GB2312"/>
          <w:bCs/>
          <w:color w:val="000000"/>
          <w:sz w:val="24"/>
        </w:rPr>
        <w:t>”</w:t>
      </w:r>
      <w:r>
        <w:rPr>
          <w:rFonts w:eastAsia="楷体_GB2312"/>
          <w:color w:val="000000"/>
          <w:sz w:val="24"/>
        </w:rPr>
        <w:t>未作评级。</w:t>
      </w:r>
    </w:p>
    <w:bookmarkEnd w:id="398"/>
    <w:bookmarkEnd w:id="399"/>
    <w:p w14:paraId="334B8D13">
      <w:pPr>
        <w:numPr>
          <w:ilvl w:val="1"/>
          <w:numId w:val="7"/>
        </w:numPr>
        <w:spacing w:line="360" w:lineRule="auto"/>
        <w:rPr>
          <w:rFonts w:eastAsia="楷体_GB2312"/>
          <w:b/>
          <w:color w:val="000000"/>
          <w:sz w:val="24"/>
        </w:rPr>
      </w:pPr>
      <w:bookmarkStart w:id="401" w:name="_Toc195174874"/>
      <w:bookmarkEnd w:id="401"/>
      <w:bookmarkStart w:id="402" w:name="_Toc195174870"/>
      <w:bookmarkEnd w:id="402"/>
      <w:bookmarkStart w:id="403" w:name="_Toc146989583"/>
      <w:bookmarkEnd w:id="403"/>
      <w:bookmarkStart w:id="404" w:name="_Toc195174846"/>
      <w:bookmarkEnd w:id="404"/>
      <w:bookmarkStart w:id="405" w:name="_Toc195174856"/>
      <w:bookmarkEnd w:id="405"/>
      <w:bookmarkStart w:id="406" w:name="_Toc195174867"/>
      <w:bookmarkEnd w:id="406"/>
      <w:bookmarkStart w:id="407" w:name="_Toc195174852"/>
      <w:bookmarkEnd w:id="407"/>
      <w:bookmarkStart w:id="408" w:name="_Toc195174865"/>
      <w:bookmarkEnd w:id="408"/>
      <w:bookmarkStart w:id="409" w:name="_Toc195174860"/>
      <w:bookmarkEnd w:id="409"/>
      <w:bookmarkStart w:id="410" w:name="_Toc195174866"/>
      <w:bookmarkEnd w:id="410"/>
      <w:bookmarkStart w:id="411" w:name="_Toc195174854"/>
      <w:bookmarkEnd w:id="411"/>
      <w:bookmarkStart w:id="412" w:name="_Toc195174853"/>
      <w:bookmarkEnd w:id="412"/>
      <w:bookmarkStart w:id="413" w:name="_Toc195174847"/>
      <w:bookmarkEnd w:id="413"/>
      <w:bookmarkStart w:id="414" w:name="_Toc195174851"/>
      <w:bookmarkEnd w:id="414"/>
      <w:bookmarkStart w:id="415" w:name="_Toc195174848"/>
      <w:bookmarkEnd w:id="415"/>
      <w:bookmarkStart w:id="416" w:name="_Toc195174858"/>
      <w:bookmarkEnd w:id="416"/>
      <w:bookmarkStart w:id="417" w:name="_Toc195174872"/>
      <w:bookmarkEnd w:id="417"/>
      <w:bookmarkStart w:id="418" w:name="_Toc195174873"/>
      <w:bookmarkEnd w:id="418"/>
      <w:bookmarkStart w:id="419" w:name="_Toc195174862"/>
      <w:bookmarkEnd w:id="419"/>
      <w:bookmarkStart w:id="420" w:name="_Toc195174850"/>
      <w:bookmarkEnd w:id="420"/>
      <w:bookmarkStart w:id="421" w:name="_Toc195174864"/>
      <w:bookmarkEnd w:id="421"/>
      <w:bookmarkStart w:id="422" w:name="_Toc195174868"/>
      <w:bookmarkEnd w:id="422"/>
      <w:bookmarkStart w:id="423" w:name="_Toc195174869"/>
      <w:bookmarkEnd w:id="423"/>
      <w:bookmarkStart w:id="424" w:name="_Toc195174849"/>
      <w:bookmarkEnd w:id="424"/>
      <w:bookmarkStart w:id="425" w:name="_Toc195174845"/>
      <w:bookmarkEnd w:id="425"/>
      <w:bookmarkStart w:id="426" w:name="_Toc195174857"/>
      <w:bookmarkEnd w:id="426"/>
      <w:bookmarkStart w:id="427" w:name="_Toc195174859"/>
      <w:bookmarkEnd w:id="427"/>
      <w:bookmarkStart w:id="428" w:name="_Toc195174855"/>
      <w:bookmarkEnd w:id="428"/>
      <w:bookmarkStart w:id="429" w:name="_Toc195174861"/>
      <w:bookmarkEnd w:id="429"/>
      <w:bookmarkStart w:id="430" w:name="_Toc195174863"/>
      <w:bookmarkEnd w:id="430"/>
      <w:bookmarkStart w:id="431" w:name="_Toc195174871"/>
      <w:bookmarkEnd w:id="431"/>
      <w:bookmarkStart w:id="432" w:name="_Toc110153441"/>
      <w:bookmarkStart w:id="433" w:name="_Toc111281792"/>
      <w:bookmarkStart w:id="434" w:name="_Toc207007304"/>
      <w:r>
        <w:rPr>
          <w:rFonts w:eastAsia="楷体_GB2312"/>
          <w:b/>
          <w:color w:val="000000"/>
          <w:sz w:val="24"/>
        </w:rPr>
        <w:t>资产支持证券的发行、承销、登记、交易和结算</w:t>
      </w:r>
      <w:bookmarkEnd w:id="432"/>
      <w:bookmarkEnd w:id="433"/>
    </w:p>
    <w:p w14:paraId="746FF269">
      <w:pPr>
        <w:numPr>
          <w:ilvl w:val="2"/>
          <w:numId w:val="7"/>
        </w:numPr>
        <w:spacing w:line="360" w:lineRule="auto"/>
        <w:ind w:left="1701" w:hanging="708"/>
        <w:rPr>
          <w:rFonts w:eastAsia="楷体_GB2312"/>
          <w:color w:val="000000"/>
          <w:sz w:val="24"/>
        </w:rPr>
      </w:pPr>
      <w:r>
        <w:rPr>
          <w:rFonts w:eastAsia="楷体_GB2312"/>
          <w:b/>
          <w:color w:val="000000"/>
          <w:sz w:val="24"/>
        </w:rPr>
        <w:t>资产支持证券的发行</w:t>
      </w:r>
    </w:p>
    <w:p w14:paraId="05B39531">
      <w:pPr>
        <w:numPr>
          <w:ilvl w:val="0"/>
          <w:numId w:val="17"/>
        </w:numPr>
        <w:spacing w:line="360" w:lineRule="auto"/>
        <w:rPr>
          <w:rFonts w:eastAsia="楷体_GB2312"/>
          <w:color w:val="000000"/>
          <w:sz w:val="24"/>
        </w:rPr>
      </w:pPr>
      <w:r>
        <w:rPr>
          <w:rFonts w:eastAsia="楷体_GB2312"/>
          <w:color w:val="000000"/>
          <w:sz w:val="24"/>
        </w:rPr>
        <w:t>在遵守本合同和</w:t>
      </w:r>
      <w:r>
        <w:rPr>
          <w:rFonts w:eastAsia="楷体_GB2312"/>
          <w:bCs/>
          <w:color w:val="000000"/>
          <w:sz w:val="24"/>
        </w:rPr>
        <w:t>“</w:t>
      </w:r>
      <w:r>
        <w:rPr>
          <w:rFonts w:eastAsia="楷体_GB2312"/>
          <w:color w:val="000000"/>
          <w:sz w:val="24"/>
        </w:rPr>
        <w:t>中国”“法律”的相关规定前提下，受托人应在银行间债券市场以“簿记建档”集中配售方式发行本“信托”项下“资产支持证券”（“发起机构”自持的“资产支持证券”除外）。“受托机构”应不迟于“信托财产交付日”按照“登记托管机构”的规则将“发起机构”自持的“资产支持证券”交付给“发起机构”。</w:t>
      </w:r>
    </w:p>
    <w:p w14:paraId="556F33C5">
      <w:pPr>
        <w:numPr>
          <w:ilvl w:val="0"/>
          <w:numId w:val="17"/>
        </w:numPr>
        <w:spacing w:line="360" w:lineRule="auto"/>
        <w:rPr>
          <w:rFonts w:eastAsia="楷体_GB2312"/>
          <w:color w:val="000000"/>
          <w:sz w:val="24"/>
        </w:rPr>
      </w:pPr>
      <w:r>
        <w:rPr>
          <w:rFonts w:eastAsia="楷体_GB2312"/>
          <w:color w:val="000000"/>
          <w:sz w:val="24"/>
        </w:rPr>
        <w:t>“委托人”同意对“受托人”发行“资产支持证券”给予积极协助。</w:t>
      </w:r>
    </w:p>
    <w:p w14:paraId="2621E489">
      <w:pPr>
        <w:numPr>
          <w:ilvl w:val="2"/>
          <w:numId w:val="7"/>
        </w:numPr>
        <w:spacing w:line="360" w:lineRule="auto"/>
        <w:ind w:left="1701" w:hanging="708"/>
        <w:rPr>
          <w:rFonts w:eastAsia="楷体_GB2312"/>
          <w:b/>
          <w:color w:val="000000"/>
          <w:sz w:val="24"/>
        </w:rPr>
      </w:pPr>
      <w:r>
        <w:rPr>
          <w:rFonts w:eastAsia="楷体_GB2312"/>
          <w:b/>
          <w:color w:val="000000"/>
          <w:sz w:val="24"/>
        </w:rPr>
        <w:t>资产支持证券的承销</w:t>
      </w:r>
    </w:p>
    <w:p w14:paraId="7D4918AF">
      <w:pPr>
        <w:numPr>
          <w:ilvl w:val="0"/>
          <w:numId w:val="18"/>
        </w:numPr>
        <w:spacing w:line="360" w:lineRule="auto"/>
        <w:rPr>
          <w:rFonts w:eastAsia="楷体_GB2312"/>
          <w:color w:val="000000"/>
          <w:sz w:val="24"/>
        </w:rPr>
      </w:pPr>
      <w:r>
        <w:rPr>
          <w:rFonts w:eastAsia="楷体_GB2312"/>
          <w:color w:val="000000"/>
          <w:sz w:val="24"/>
        </w:rPr>
        <w:t>“受托人”作为“资产支持证券”的发行人，与“发起机构”、“主承销商”签署“《主承销协议》”，“主承销商”再与其他“承销商”签署“《承销团协议》”，由“主承销商”和其他“承销商”承销“优先级资产支持证券”和“次级资产支持证券”（“发起机构”自持的“资产支持证券”除外）。各方具体权利义务在“受托人”、“委托人”和“主承销商”签署的“《主承销协议》”中进行约定。</w:t>
      </w:r>
    </w:p>
    <w:p w14:paraId="7844E543">
      <w:pPr>
        <w:numPr>
          <w:ilvl w:val="0"/>
          <w:numId w:val="18"/>
        </w:numPr>
        <w:spacing w:line="360" w:lineRule="auto"/>
        <w:rPr>
          <w:rFonts w:eastAsia="楷体_GB2312"/>
          <w:color w:val="000000"/>
          <w:sz w:val="24"/>
        </w:rPr>
      </w:pPr>
      <w:r>
        <w:rPr>
          <w:rFonts w:eastAsia="楷体_GB2312"/>
          <w:color w:val="000000"/>
          <w:sz w:val="24"/>
        </w:rPr>
        <w:t>“簿记管理人”根据“《主承销协议》”将“资产支持证券募集资金”划付至“受托机构”指定的“信托账户”后，“受托机构”应根据“登记托管机构”的规则和程序，向“登记托管机构”提供“资产支持证券”发行款到账确认书及其他相关文件，“登记托管机构”据此办理“资产支持证券”的托管确认手续，并向“受托机构”签发资产支持证券登记托管手续完成确认书。</w:t>
      </w:r>
    </w:p>
    <w:p w14:paraId="061C2691">
      <w:pPr>
        <w:numPr>
          <w:ilvl w:val="2"/>
          <w:numId w:val="7"/>
        </w:numPr>
        <w:spacing w:line="360" w:lineRule="auto"/>
        <w:ind w:left="1701" w:hanging="708"/>
        <w:rPr>
          <w:rFonts w:eastAsia="楷体_GB2312"/>
          <w:b/>
          <w:color w:val="000000"/>
          <w:sz w:val="24"/>
        </w:rPr>
      </w:pPr>
      <w:r>
        <w:rPr>
          <w:rFonts w:eastAsia="楷体_GB2312"/>
          <w:b/>
          <w:color w:val="000000"/>
          <w:sz w:val="24"/>
        </w:rPr>
        <w:t>资产支持证券的登记、托管</w:t>
      </w:r>
    </w:p>
    <w:p w14:paraId="01003975">
      <w:pPr>
        <w:numPr>
          <w:ilvl w:val="0"/>
          <w:numId w:val="19"/>
        </w:numPr>
        <w:spacing w:line="360" w:lineRule="auto"/>
        <w:rPr>
          <w:rFonts w:eastAsia="楷体_GB2312"/>
          <w:color w:val="000000"/>
          <w:sz w:val="24"/>
        </w:rPr>
      </w:pPr>
      <w:r>
        <w:rPr>
          <w:rFonts w:eastAsia="楷体_GB2312"/>
          <w:color w:val="000000"/>
          <w:sz w:val="24"/>
        </w:rPr>
        <w:t>在“信托期限”内，“资产支持证券”应在“登记托管机构”进行登记、托管。</w:t>
      </w:r>
    </w:p>
    <w:p w14:paraId="00A8FA80">
      <w:pPr>
        <w:numPr>
          <w:ilvl w:val="0"/>
          <w:numId w:val="19"/>
        </w:numPr>
        <w:spacing w:line="360" w:lineRule="auto"/>
        <w:rPr>
          <w:rFonts w:eastAsia="楷体_GB2312"/>
          <w:color w:val="000000"/>
          <w:sz w:val="24"/>
        </w:rPr>
      </w:pPr>
      <w:r>
        <w:rPr>
          <w:rFonts w:eastAsia="楷体_GB2312"/>
          <w:color w:val="000000"/>
          <w:sz w:val="24"/>
        </w:rPr>
        <w:t>以“《主承销协议》”中约定的“资产支持证券”（“发起机构”自持的“资产支持证券”除外）认购款于“信托生效日”汇入“受托机构”的指定账户为条件，“受托机构”或其代理人应根据“登记托管机构”的规则和程序，通过“登记托管机构”的系统对“资产支持证券”进行登记和托管。</w:t>
      </w:r>
    </w:p>
    <w:p w14:paraId="6D9EAE6E">
      <w:pPr>
        <w:numPr>
          <w:ilvl w:val="0"/>
          <w:numId w:val="19"/>
        </w:numPr>
        <w:spacing w:line="360" w:lineRule="auto"/>
        <w:rPr>
          <w:rFonts w:eastAsia="楷体_GB2312"/>
          <w:color w:val="000000"/>
          <w:sz w:val="24"/>
        </w:rPr>
      </w:pPr>
      <w:r>
        <w:rPr>
          <w:rFonts w:eastAsia="楷体_GB2312"/>
          <w:color w:val="000000"/>
          <w:sz w:val="24"/>
        </w:rPr>
        <w:t>“受托机构”或其代理人应根据“登记托管机构”的规则和程序，于“信托财产交付日”通过“登记托管机构”的系统向“发起机构”交付“资产支持证券”，由“登记托管机构”对“发起机构”持有的“资产支持证券”进行登记和托管。</w:t>
      </w:r>
    </w:p>
    <w:p w14:paraId="7B96A48F">
      <w:pPr>
        <w:numPr>
          <w:ilvl w:val="0"/>
          <w:numId w:val="19"/>
        </w:numPr>
        <w:spacing w:line="360" w:lineRule="auto"/>
        <w:rPr>
          <w:rFonts w:eastAsia="楷体_GB2312"/>
          <w:color w:val="000000"/>
          <w:sz w:val="24"/>
        </w:rPr>
      </w:pPr>
      <w:r>
        <w:rPr>
          <w:rFonts w:eastAsia="楷体_GB2312"/>
          <w:color w:val="000000"/>
          <w:sz w:val="24"/>
        </w:rPr>
        <w:t>在遵守本合同的前提下，“受托人”应当与“登记托管机构”、“支付代理机构”就“资产支持证券”的登记、托管的具体事宜签署“债券发行、登记及代理兑付服务协议”及其他相关协议。</w:t>
      </w:r>
    </w:p>
    <w:p w14:paraId="5D33F783">
      <w:pPr>
        <w:numPr>
          <w:ilvl w:val="0"/>
          <w:numId w:val="19"/>
        </w:numPr>
        <w:spacing w:line="360" w:lineRule="auto"/>
        <w:rPr>
          <w:rFonts w:eastAsia="楷体_GB2312"/>
          <w:color w:val="000000"/>
          <w:sz w:val="24"/>
        </w:rPr>
      </w:pPr>
      <w:r>
        <w:rPr>
          <w:rFonts w:eastAsia="楷体_GB2312"/>
          <w:color w:val="000000"/>
          <w:sz w:val="24"/>
        </w:rPr>
        <w:t>“受托人”应在“登记托管机构”规定的时间内从“委托人”交付的【“过渡期”的“处置收入”中】向“登记托管机构”支付发行登记服务费。</w:t>
      </w:r>
    </w:p>
    <w:p w14:paraId="2DAB3648">
      <w:pPr>
        <w:pStyle w:val="131"/>
        <w:widowControl w:val="0"/>
        <w:spacing w:line="360" w:lineRule="auto"/>
        <w:ind w:left="2127" w:firstLine="0" w:firstLineChars="0"/>
        <w:jc w:val="both"/>
      </w:pPr>
      <w:r>
        <w:rPr>
          <w:rFonts w:eastAsia="楷体_GB2312"/>
          <w:b/>
          <w:bCs/>
          <w:i/>
          <w:iCs/>
          <w:color w:val="FF0000"/>
          <w:lang w:eastAsia="zh-CN"/>
        </w:rPr>
        <w:t>【注：发行登记服务费的付费来源根据项目的具体安排进行调整。】</w:t>
      </w:r>
    </w:p>
    <w:p w14:paraId="1C4E2BE5">
      <w:pPr>
        <w:numPr>
          <w:ilvl w:val="2"/>
          <w:numId w:val="7"/>
        </w:numPr>
        <w:spacing w:line="360" w:lineRule="auto"/>
        <w:ind w:left="1701" w:hanging="708"/>
        <w:rPr>
          <w:rFonts w:eastAsia="楷体_GB2312"/>
          <w:color w:val="000000"/>
          <w:sz w:val="24"/>
        </w:rPr>
      </w:pPr>
      <w:r>
        <w:rPr>
          <w:rFonts w:eastAsia="楷体_GB2312"/>
          <w:b/>
          <w:color w:val="000000"/>
          <w:sz w:val="24"/>
        </w:rPr>
        <w:t>资产支持证券的交易</w:t>
      </w:r>
    </w:p>
    <w:p w14:paraId="7DF6AB75">
      <w:pPr>
        <w:numPr>
          <w:ilvl w:val="0"/>
          <w:numId w:val="20"/>
        </w:numPr>
        <w:spacing w:line="360" w:lineRule="auto"/>
        <w:rPr>
          <w:rFonts w:eastAsia="楷体_GB2312"/>
          <w:color w:val="000000"/>
          <w:sz w:val="24"/>
        </w:rPr>
      </w:pPr>
      <w:r>
        <w:rPr>
          <w:rFonts w:eastAsia="楷体_GB2312"/>
          <w:color w:val="000000"/>
          <w:sz w:val="24"/>
        </w:rPr>
        <w:t>“资产支持证券”在银行间债券市场公开发行结束并经“登记托管机构”登记完毕后，即可依据中国人民银行公告〔2015〕第9号在全国银行间债券市场交易流通，但相关</w:t>
      </w:r>
      <w:r>
        <w:rPr>
          <w:rFonts w:eastAsia="楷体_GB2312"/>
          <w:bCs/>
          <w:color w:val="000000"/>
          <w:sz w:val="24"/>
        </w:rPr>
        <w:t>“</w:t>
      </w:r>
      <w:r>
        <w:rPr>
          <w:rFonts w:eastAsia="楷体_GB2312"/>
          <w:color w:val="000000"/>
          <w:sz w:val="24"/>
        </w:rPr>
        <w:t>中国”“法律”对“发起机构”自持的“优先级资产支持证券”及“次级资产支持证券”的转让有特殊规定的依其规定。“资产支持证券持有人”应根据《全国银行间市场债券交易规则</w:t>
      </w:r>
      <w:r>
        <w:rPr>
          <w:rFonts w:hint="eastAsia" w:eastAsia="楷体_GB2312"/>
          <w:color w:val="000000"/>
          <w:sz w:val="24"/>
        </w:rPr>
        <w:t>》《</w:t>
      </w:r>
      <w:r>
        <w:rPr>
          <w:rFonts w:eastAsia="楷体_GB2312"/>
          <w:color w:val="000000"/>
          <w:sz w:val="24"/>
        </w:rPr>
        <w:t>全国银行间债券市场债券交易管理办法》、中国人民银行公告〔2015〕第9号等相关法律、法规和规范性文件的规定，在全国银行间债券市场进行交易。</w:t>
      </w:r>
    </w:p>
    <w:p w14:paraId="7B1C9B57">
      <w:pPr>
        <w:spacing w:line="360" w:lineRule="auto"/>
        <w:ind w:left="2121"/>
        <w:rPr>
          <w:rFonts w:eastAsia="楷体_GB2312"/>
          <w:b/>
          <w:bCs/>
          <w:i/>
          <w:iCs/>
          <w:color w:val="FF0000"/>
          <w:sz w:val="24"/>
        </w:rPr>
      </w:pPr>
      <w:r>
        <w:rPr>
          <w:rFonts w:eastAsia="楷体_GB2312"/>
          <w:b/>
          <w:bCs/>
          <w:i/>
          <w:iCs/>
          <w:color w:val="FF0000"/>
          <w:sz w:val="24"/>
        </w:rPr>
        <w:t>【注：该条款需根据届时所适用的最新法律法规予以更新调整（如需）。】</w:t>
      </w:r>
    </w:p>
    <w:p w14:paraId="138051EB">
      <w:pPr>
        <w:numPr>
          <w:ilvl w:val="0"/>
          <w:numId w:val="20"/>
        </w:numPr>
        <w:spacing w:line="360" w:lineRule="auto"/>
        <w:rPr>
          <w:rFonts w:eastAsia="楷体_GB2312"/>
          <w:color w:val="000000"/>
          <w:sz w:val="24"/>
        </w:rPr>
      </w:pPr>
      <w:r>
        <w:rPr>
          <w:rFonts w:eastAsia="楷体_GB2312"/>
          <w:color w:val="000000"/>
          <w:sz w:val="24"/>
        </w:rPr>
        <w:t>“资产支持证券持有人”享有与其持有“资产支持证券”类别和数额相对应的“信托受益权”份额。“资产支持证券”是其持有人享有本“信托”的相应“信托受益权”及承担相应义务的证明。</w:t>
      </w:r>
    </w:p>
    <w:p w14:paraId="3CD35AD8">
      <w:pPr>
        <w:numPr>
          <w:ilvl w:val="2"/>
          <w:numId w:val="7"/>
        </w:numPr>
        <w:spacing w:line="360" w:lineRule="auto"/>
        <w:ind w:left="1701" w:hanging="708"/>
        <w:rPr>
          <w:rFonts w:eastAsia="楷体_GB2312"/>
          <w:color w:val="000000"/>
          <w:sz w:val="24"/>
        </w:rPr>
      </w:pPr>
      <w:bookmarkStart w:id="435" w:name="_Toc111281793"/>
      <w:r>
        <w:rPr>
          <w:rFonts w:eastAsia="楷体_GB2312"/>
          <w:b/>
          <w:color w:val="000000"/>
          <w:sz w:val="24"/>
        </w:rPr>
        <w:t>资产支持证券的结算</w:t>
      </w:r>
      <w:bookmarkEnd w:id="435"/>
    </w:p>
    <w:p w14:paraId="1350EC55">
      <w:pPr>
        <w:numPr>
          <w:ilvl w:val="0"/>
          <w:numId w:val="21"/>
        </w:numPr>
        <w:spacing w:line="360" w:lineRule="auto"/>
        <w:rPr>
          <w:rFonts w:eastAsia="楷体_GB2312"/>
          <w:color w:val="000000"/>
          <w:sz w:val="24"/>
        </w:rPr>
      </w:pPr>
      <w:r>
        <w:rPr>
          <w:rFonts w:eastAsia="楷体_GB2312"/>
          <w:color w:val="000000"/>
          <w:sz w:val="24"/>
        </w:rPr>
        <w:t>“资产支持证券”结算按照“登记托管机构”的有关规定执行。</w:t>
      </w:r>
    </w:p>
    <w:p w14:paraId="228746E2">
      <w:pPr>
        <w:numPr>
          <w:ilvl w:val="0"/>
          <w:numId w:val="21"/>
        </w:numPr>
        <w:spacing w:line="360" w:lineRule="auto"/>
        <w:rPr>
          <w:rFonts w:eastAsia="楷体_GB2312"/>
          <w:b/>
          <w:color w:val="000000"/>
          <w:sz w:val="24"/>
        </w:rPr>
      </w:pPr>
      <w:r>
        <w:rPr>
          <w:rFonts w:eastAsia="楷体_GB2312"/>
          <w:color w:val="000000"/>
          <w:sz w:val="24"/>
        </w:rPr>
        <w:t>“资产支持证券持有人”可以将“资产支持证券”依法转让、用于清偿债务或以其他合法方式进行移转，并按照相关规定办理相应的变更登记手续。</w:t>
      </w:r>
    </w:p>
    <w:p w14:paraId="3AB702F3">
      <w:pPr>
        <w:numPr>
          <w:ilvl w:val="2"/>
          <w:numId w:val="7"/>
        </w:numPr>
        <w:spacing w:line="360" w:lineRule="auto"/>
        <w:ind w:left="1701" w:hanging="708"/>
        <w:rPr>
          <w:rFonts w:eastAsia="楷体_GB2312"/>
          <w:color w:val="000000"/>
          <w:sz w:val="24"/>
        </w:rPr>
      </w:pPr>
      <w:bookmarkStart w:id="436" w:name="_Ref445993982"/>
      <w:bookmarkStart w:id="437" w:name="_Toc111281794"/>
      <w:r>
        <w:rPr>
          <w:rFonts w:eastAsia="楷体_GB2312"/>
          <w:b/>
          <w:color w:val="000000"/>
          <w:sz w:val="24"/>
        </w:rPr>
        <w:t>发行费用的支付</w:t>
      </w:r>
      <w:bookmarkEnd w:id="436"/>
    </w:p>
    <w:p w14:paraId="19F8FC9F">
      <w:pPr>
        <w:pStyle w:val="131"/>
        <w:widowControl w:val="0"/>
        <w:spacing w:before="156" w:beforeLines="50" w:line="360" w:lineRule="auto"/>
        <w:ind w:left="1559" w:firstLine="0" w:firstLineChars="0"/>
        <w:jc w:val="both"/>
        <w:rPr>
          <w:rFonts w:eastAsia="楷体_GB2312"/>
        </w:rPr>
      </w:pPr>
      <w:r>
        <w:rPr>
          <w:rFonts w:eastAsia="楷体_GB2312"/>
          <w:color w:val="000000"/>
          <w:lang w:eastAsia="zh-CN"/>
        </w:rPr>
        <w:t>与“信托”的设立和“资产支持证券”发行相关的“发行费用”由“信托财产”承担。以“信托”生效为前提，“受托人”应于“信托生效日”后第一个“支付日”指示“资金保管机构”从“信托账户”中支付给相关方（但相关“收费文件”对付款时间另有约定的除外）。如“信托财产”中的现金不足以支付全部“发行费用”的，应优先支付发行登记服务费，其余各项“发行费用”按应受偿金额的比例同顺序支付。如“信托财产”中的现金不足以支付“登记托管机构”的发行登记服务费的，“受托机构”将以固有财产垫付，就垫付的金额，对“信托财产”享有按照本合同第</w:t>
      </w:r>
      <w:r>
        <w:fldChar w:fldCharType="begin"/>
      </w:r>
      <w:r>
        <w:instrText xml:space="preserve"> REF _Ref201563930 \r \h  \* MERGEFORMAT </w:instrText>
      </w:r>
      <w:r>
        <w:fldChar w:fldCharType="separate"/>
      </w:r>
      <w:r>
        <w:rPr>
          <w:rFonts w:eastAsia="楷体_GB2312"/>
          <w:color w:val="000000"/>
          <w:lang w:eastAsia="zh-CN"/>
        </w:rPr>
        <w:t>11</w:t>
      </w:r>
      <w:r>
        <w:fldChar w:fldCharType="end"/>
      </w:r>
      <w:r>
        <w:rPr>
          <w:rFonts w:eastAsia="楷体_GB2312"/>
          <w:color w:val="000000"/>
          <w:lang w:eastAsia="zh-CN"/>
        </w:rPr>
        <w:t>条约定的分配顺序优先受偿的权利；其他未足额支付的“发行费用”将由“受托人”在“支付日”按照本合同第</w:t>
      </w:r>
      <w:r>
        <w:fldChar w:fldCharType="begin"/>
      </w:r>
      <w:r>
        <w:instrText xml:space="preserve"> REF _Ref201563930 \r \h  \* MERGEFORMAT </w:instrText>
      </w:r>
      <w:r>
        <w:fldChar w:fldCharType="separate"/>
      </w:r>
      <w:r>
        <w:rPr>
          <w:rFonts w:eastAsia="楷体_GB2312"/>
          <w:color w:val="000000"/>
          <w:lang w:eastAsia="zh-CN"/>
        </w:rPr>
        <w:t>11</w:t>
      </w:r>
      <w:r>
        <w:fldChar w:fldCharType="end"/>
      </w:r>
      <w:r>
        <w:rPr>
          <w:rFonts w:eastAsia="楷体_GB2312"/>
          <w:color w:val="000000"/>
          <w:lang w:eastAsia="zh-CN"/>
        </w:rPr>
        <w:t>条规定的分配顺序予以支付。</w:t>
      </w:r>
    </w:p>
    <w:p w14:paraId="00001929">
      <w:pPr>
        <w:spacing w:line="360" w:lineRule="auto"/>
        <w:ind w:left="1559"/>
        <w:rPr>
          <w:color w:val="FF0000"/>
        </w:rPr>
      </w:pPr>
      <w:r>
        <w:rPr>
          <w:rFonts w:eastAsia="楷体_GB2312"/>
          <w:b/>
          <w:bCs/>
          <w:i/>
          <w:iCs/>
          <w:color w:val="FF0000"/>
          <w:sz w:val="24"/>
        </w:rPr>
        <w:t>【注：“发行费用”的承担方式根据项目的实际情况确定和调整。】</w:t>
      </w:r>
    </w:p>
    <w:p w14:paraId="1ED1F29E">
      <w:pPr>
        <w:numPr>
          <w:ilvl w:val="2"/>
          <w:numId w:val="7"/>
        </w:numPr>
        <w:spacing w:line="360" w:lineRule="auto"/>
        <w:ind w:left="1701" w:hanging="708"/>
        <w:rPr>
          <w:rFonts w:eastAsia="楷体_GB2312"/>
          <w:color w:val="000000"/>
          <w:sz w:val="24"/>
        </w:rPr>
      </w:pPr>
      <w:r>
        <w:rPr>
          <w:rFonts w:eastAsia="楷体_GB2312"/>
          <w:b/>
          <w:color w:val="000000"/>
          <w:sz w:val="24"/>
        </w:rPr>
        <w:t>资产支持证券发行不成功</w:t>
      </w:r>
      <w:bookmarkEnd w:id="437"/>
    </w:p>
    <w:p w14:paraId="77555E21">
      <w:pPr>
        <w:numPr>
          <w:ilvl w:val="0"/>
          <w:numId w:val="22"/>
        </w:numPr>
        <w:spacing w:line="360" w:lineRule="auto"/>
        <w:rPr>
          <w:rFonts w:eastAsia="楷体_GB2312"/>
          <w:color w:val="000000"/>
          <w:sz w:val="24"/>
        </w:rPr>
      </w:pPr>
      <w:r>
        <w:rPr>
          <w:rFonts w:eastAsia="楷体_GB2312"/>
          <w:color w:val="000000"/>
          <w:sz w:val="24"/>
        </w:rPr>
        <w:t>如果截至“簿记建档日”各档“资产支持证券”（“发起机构”自持的“资产支持证券”除外）未能全部得到足额认购，或者截至“缴款截止日”各档“资产支持证券”（“发起机构”自持的“资产支持证券”除外）募集款项未能全部足额缴纳且“主承销商”未按“《主承销协议》”约定履行包销责任，则视为“资产支持证券”发行不成功。在发行不成功的情形下，除本合同另有约定外，“委托人”和“受托人”自行承担因发行“资产支持证券”而支出的各自的费用。“资产支持证券”发行不成功的，“委托人”和“受托人”可以另行协商发行安排。</w:t>
      </w:r>
    </w:p>
    <w:p w14:paraId="21091199">
      <w:pPr>
        <w:numPr>
          <w:ilvl w:val="0"/>
          <w:numId w:val="22"/>
        </w:numPr>
        <w:spacing w:line="360" w:lineRule="auto"/>
        <w:rPr>
          <w:rFonts w:eastAsia="楷体_GB2312"/>
          <w:color w:val="000000"/>
          <w:sz w:val="24"/>
        </w:rPr>
      </w:pPr>
      <w:bookmarkStart w:id="438" w:name="_Ref112061754"/>
      <w:r>
        <w:rPr>
          <w:rFonts w:eastAsia="楷体_GB2312"/>
          <w:color w:val="000000"/>
          <w:sz w:val="24"/>
        </w:rPr>
        <w:t>“资产支持证券”发行不成功的，“受托人”应不迟于发行结束后的次一个“工作日”向“登记托管机构”提供《发行结果公告》，以便“登记托管机构”据此办理“资产支持证券”注销手续</w:t>
      </w:r>
      <w:bookmarkEnd w:id="438"/>
      <w:r>
        <w:rPr>
          <w:rFonts w:eastAsia="楷体_GB2312"/>
          <w:color w:val="000000"/>
          <w:sz w:val="24"/>
        </w:rPr>
        <w:t>。</w:t>
      </w:r>
    </w:p>
    <w:bookmarkEnd w:id="434"/>
    <w:p w14:paraId="73F4ECED">
      <w:pPr>
        <w:numPr>
          <w:ilvl w:val="0"/>
          <w:numId w:val="7"/>
        </w:numPr>
        <w:spacing w:line="360" w:lineRule="auto"/>
        <w:outlineLvl w:val="0"/>
        <w:rPr>
          <w:rFonts w:eastAsia="楷体_GB2312"/>
          <w:b/>
          <w:color w:val="000000"/>
        </w:rPr>
      </w:pPr>
      <w:bookmarkStart w:id="439" w:name="_Toc204497524"/>
      <w:bookmarkEnd w:id="439"/>
      <w:bookmarkStart w:id="440" w:name="_Toc219654268"/>
      <w:bookmarkEnd w:id="440"/>
      <w:bookmarkStart w:id="441" w:name="_Toc219654339"/>
      <w:bookmarkEnd w:id="441"/>
      <w:bookmarkStart w:id="442" w:name="_Toc146989589"/>
      <w:bookmarkEnd w:id="442"/>
      <w:bookmarkStart w:id="443" w:name="_Toc106417380"/>
      <w:bookmarkEnd w:id="443"/>
      <w:bookmarkStart w:id="444" w:name="_Toc225538158"/>
      <w:bookmarkStart w:id="445" w:name="_Toc219710677"/>
      <w:bookmarkStart w:id="446" w:name="_Ref150547317"/>
      <w:bookmarkStart w:id="447" w:name="_Ref150588804"/>
      <w:r>
        <w:rPr>
          <w:rFonts w:eastAsia="楷体_GB2312"/>
          <w:b/>
          <w:color w:val="000000"/>
          <w:sz w:val="24"/>
        </w:rPr>
        <w:t>信托账户</w:t>
      </w:r>
      <w:bookmarkEnd w:id="444"/>
      <w:bookmarkEnd w:id="445"/>
    </w:p>
    <w:p w14:paraId="163231D7">
      <w:pPr>
        <w:numPr>
          <w:ilvl w:val="1"/>
          <w:numId w:val="7"/>
        </w:numPr>
        <w:spacing w:line="360" w:lineRule="auto"/>
        <w:rPr>
          <w:rFonts w:eastAsia="楷体_GB2312"/>
          <w:b/>
          <w:color w:val="000000"/>
          <w:sz w:val="24"/>
        </w:rPr>
      </w:pPr>
      <w:r>
        <w:rPr>
          <w:rFonts w:eastAsia="楷体_GB2312"/>
          <w:b/>
          <w:color w:val="000000"/>
          <w:sz w:val="24"/>
        </w:rPr>
        <w:t>信托账户的设立</w:t>
      </w:r>
    </w:p>
    <w:p w14:paraId="1EAED4C2">
      <w:pPr>
        <w:numPr>
          <w:ilvl w:val="2"/>
          <w:numId w:val="7"/>
        </w:numPr>
        <w:spacing w:line="360" w:lineRule="auto"/>
        <w:ind w:left="1701" w:hanging="708"/>
        <w:rPr>
          <w:rFonts w:eastAsia="楷体_GB2312"/>
          <w:b/>
          <w:color w:val="000000"/>
          <w:sz w:val="24"/>
        </w:rPr>
      </w:pPr>
      <w:r>
        <w:rPr>
          <w:rFonts w:eastAsia="楷体_GB2312"/>
          <w:color w:val="000000"/>
          <w:sz w:val="24"/>
        </w:rPr>
        <w:t>在“信托生效日”当日或之前，“受托人”应根据“《资金保管合同》”的约定以“【】”的名称在“资金保管机构”开立一个独立的人民币信托专用账户（“信托账户”）。</w:t>
      </w:r>
    </w:p>
    <w:p w14:paraId="3424CD2D">
      <w:pPr>
        <w:spacing w:line="360" w:lineRule="auto"/>
        <w:ind w:left="1680"/>
        <w:rPr>
          <w:rFonts w:eastAsia="楷体_GB2312"/>
          <w:snapToGrid w:val="0"/>
          <w:kern w:val="0"/>
          <w:sz w:val="24"/>
        </w:rPr>
      </w:pPr>
      <w:r>
        <w:rPr>
          <w:rFonts w:eastAsia="楷体_GB2312"/>
          <w:snapToGrid w:val="0"/>
          <w:kern w:val="0"/>
          <w:sz w:val="24"/>
        </w:rPr>
        <w:t>“信托账户”下设立“信托收款账户”、“信托付款账户”、“信托（流动性）储备账户”和“处置费用账户”(如有)【三/四】个一级分账户。“信托付款账户”下设“信托分配（税收）账户”、“信托分配（费用和开支）账户”、“信托分配（证券）账户”三个二级分账户/子账户。</w:t>
      </w:r>
    </w:p>
    <w:p w14:paraId="02E001C1">
      <w:pPr>
        <w:tabs>
          <w:tab w:val="left" w:pos="4973"/>
        </w:tabs>
        <w:spacing w:before="156" w:beforeLines="50" w:after="156" w:afterLines="50" w:line="360" w:lineRule="auto"/>
        <w:ind w:left="1701"/>
        <w:rPr>
          <w:rFonts w:eastAsia="楷体_GB2312"/>
          <w:b/>
          <w:color w:val="000000"/>
          <w:sz w:val="24"/>
        </w:rPr>
      </w:pPr>
      <w:r>
        <w:rPr>
          <w:rFonts w:eastAsia="楷体_GB2312"/>
          <w:b/>
          <w:bCs/>
          <w:i/>
          <w:iCs/>
          <w:color w:val="FF0000"/>
          <w:sz w:val="24"/>
        </w:rPr>
        <w:t>【注：账户设置可视项目实际情况调整。】</w:t>
      </w:r>
    </w:p>
    <w:p w14:paraId="66B00AC0">
      <w:pPr>
        <w:numPr>
          <w:ilvl w:val="2"/>
          <w:numId w:val="7"/>
        </w:numPr>
        <w:spacing w:line="360" w:lineRule="auto"/>
        <w:ind w:left="1701" w:hanging="708"/>
        <w:rPr>
          <w:rFonts w:eastAsia="楷体_GB2312"/>
          <w:b/>
          <w:color w:val="000000"/>
        </w:rPr>
      </w:pPr>
      <w:r>
        <w:rPr>
          <w:rFonts w:eastAsia="楷体_GB2312"/>
          <w:color w:val="000000"/>
          <w:sz w:val="24"/>
        </w:rPr>
        <w:t>根据“《资金保管合同》”解任“资金保管机构”后，“资产支持证券持有人大会”应任命“替代资金保管机构”。“替代资金保管机构”应是符合以下条件的商业银行：(1)任一“评级机构”</w:t>
      </w:r>
      <w:r>
        <w:rPr>
          <w:rFonts w:eastAsia="楷体_GB2312"/>
          <w:color w:val="000000"/>
          <w:kern w:val="0"/>
          <w:sz w:val="24"/>
        </w:rPr>
        <w:t>给予其的主体长期信用等级均高于【】</w:t>
      </w:r>
      <w:r>
        <w:rPr>
          <w:rFonts w:eastAsia="楷体_GB2312"/>
          <w:color w:val="000000"/>
          <w:sz w:val="24"/>
        </w:rPr>
        <w:t>；(2)愿意按照“《资金保管合同》”的条款担任“资金保管机构”且具备资金保管机构业务资格。“受托人”应于实际可行时尽快但至迟于任命“替代资金保管机构”后的【】个“工作日”内在“替代资金保管机构”为“信托”开立新的信托专用账户并将“信托账户”内的资金及其存款转入该信托专用账户。</w:t>
      </w:r>
    </w:p>
    <w:p w14:paraId="0A994617">
      <w:pPr>
        <w:numPr>
          <w:ilvl w:val="1"/>
          <w:numId w:val="7"/>
        </w:numPr>
        <w:spacing w:line="360" w:lineRule="auto"/>
        <w:rPr>
          <w:rFonts w:eastAsia="楷体_GB2312"/>
          <w:b/>
          <w:color w:val="000000"/>
        </w:rPr>
      </w:pPr>
      <w:bookmarkStart w:id="448" w:name="_Toc204497526"/>
      <w:bookmarkEnd w:id="448"/>
      <w:bookmarkStart w:id="449" w:name="_Toc201569413"/>
      <w:bookmarkStart w:id="450" w:name="_Ref458171061"/>
      <w:r>
        <w:rPr>
          <w:rFonts w:eastAsia="楷体_GB2312"/>
          <w:b/>
          <w:color w:val="000000"/>
          <w:sz w:val="24"/>
        </w:rPr>
        <w:t>信托收款账户</w:t>
      </w:r>
      <w:bookmarkEnd w:id="449"/>
      <w:bookmarkEnd w:id="450"/>
    </w:p>
    <w:p w14:paraId="35229EC6">
      <w:pPr>
        <w:spacing w:line="360" w:lineRule="auto"/>
        <w:ind w:left="851"/>
        <w:rPr>
          <w:rFonts w:eastAsia="楷体_GB2312"/>
          <w:color w:val="000000"/>
          <w:sz w:val="24"/>
        </w:rPr>
      </w:pPr>
      <w:r>
        <w:rPr>
          <w:rFonts w:eastAsia="楷体_GB2312"/>
          <w:color w:val="000000"/>
          <w:sz w:val="24"/>
        </w:rPr>
        <w:t>“受托人”应当将全部“处置收入”（【扣除相应“处置费用”】）以及按照本合同相关约定转入“信托收款账户”的资金记入“信托收款账户”，并按照本合同第</w:t>
      </w:r>
      <w:r>
        <w:rPr>
          <w:rFonts w:eastAsia="楷体_GB2312"/>
          <w:color w:val="000000"/>
          <w:sz w:val="24"/>
        </w:rPr>
        <w:fldChar w:fldCharType="begin"/>
      </w:r>
      <w:r>
        <w:rPr>
          <w:rFonts w:eastAsia="楷体_GB2312"/>
          <w:color w:val="000000"/>
          <w:sz w:val="24"/>
        </w:rPr>
        <w:instrText xml:space="preserve"> REF _Ref201563930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条的约定运用“信托收款账户”项下的资金。</w:t>
      </w:r>
    </w:p>
    <w:p w14:paraId="0C31D12C">
      <w:pPr>
        <w:numPr>
          <w:ilvl w:val="1"/>
          <w:numId w:val="7"/>
        </w:numPr>
        <w:spacing w:line="360" w:lineRule="auto"/>
        <w:rPr>
          <w:rFonts w:eastAsia="楷体_GB2312"/>
          <w:color w:val="000000"/>
        </w:rPr>
      </w:pPr>
      <w:bookmarkStart w:id="451" w:name="_Toc201569417"/>
      <w:r>
        <w:rPr>
          <w:rFonts w:eastAsia="楷体_GB2312"/>
          <w:b/>
          <w:color w:val="000000"/>
          <w:sz w:val="24"/>
        </w:rPr>
        <w:t>信托付款账户</w:t>
      </w:r>
    </w:p>
    <w:p w14:paraId="6E324425">
      <w:pPr>
        <w:spacing w:line="360" w:lineRule="auto"/>
        <w:ind w:left="851"/>
        <w:rPr>
          <w:rFonts w:eastAsia="楷体_GB2312"/>
          <w:color w:val="000000"/>
          <w:sz w:val="24"/>
        </w:rPr>
      </w:pPr>
      <w:r>
        <w:rPr>
          <w:rFonts w:eastAsia="楷体_GB2312"/>
          <w:color w:val="000000"/>
          <w:sz w:val="24"/>
        </w:rPr>
        <w:t>“信托付款账户”根据本合同从“信托收款账户”中取得资金，“受托人”应于相应的“支付日”或本合同约定的其他日期将“信托付款账户”内资金按照本合同的约定进行支付。</w:t>
      </w:r>
    </w:p>
    <w:p w14:paraId="196D445E">
      <w:pPr>
        <w:numPr>
          <w:ilvl w:val="1"/>
          <w:numId w:val="7"/>
        </w:numPr>
        <w:spacing w:before="156" w:beforeLines="50" w:after="156" w:afterLines="50" w:line="360" w:lineRule="auto"/>
        <w:rPr>
          <w:rFonts w:eastAsia="楷体_GB2312"/>
          <w:b/>
          <w:color w:val="000000"/>
          <w:sz w:val="24"/>
        </w:rPr>
      </w:pPr>
      <w:r>
        <w:rPr>
          <w:rFonts w:eastAsia="楷体_GB2312"/>
          <w:b/>
          <w:color w:val="000000"/>
          <w:sz w:val="24"/>
        </w:rPr>
        <w:t>信托（流动性）储备账户</w:t>
      </w:r>
    </w:p>
    <w:p w14:paraId="0FE4869E">
      <w:pPr>
        <w:spacing w:line="360" w:lineRule="auto"/>
        <w:ind w:left="851"/>
        <w:rPr>
          <w:rFonts w:eastAsia="楷体_GB2312"/>
          <w:color w:val="000000"/>
          <w:sz w:val="24"/>
        </w:rPr>
      </w:pPr>
      <w:r>
        <w:rPr>
          <w:rFonts w:eastAsia="楷体_GB2312"/>
          <w:color w:val="000000"/>
          <w:sz w:val="24"/>
        </w:rPr>
        <w:t>“信托（流动性）储备账户”根据本合同约定从“信托收款账户”中取得资金，“受托人”应于相应的“信托分配日”将“信托（流动性）储备账户”内资金按照本合同的约定进行分配。</w:t>
      </w:r>
    </w:p>
    <w:p w14:paraId="4D0D2547">
      <w:pPr>
        <w:numPr>
          <w:ilvl w:val="1"/>
          <w:numId w:val="7"/>
        </w:numPr>
        <w:spacing w:line="360" w:lineRule="auto"/>
        <w:rPr>
          <w:rFonts w:eastAsia="楷体_GB2312"/>
          <w:color w:val="000000"/>
          <w:sz w:val="24"/>
        </w:rPr>
      </w:pPr>
      <w:r>
        <w:rPr>
          <w:rFonts w:eastAsia="楷体_GB2312"/>
          <w:b/>
          <w:color w:val="000000"/>
          <w:sz w:val="24"/>
        </w:rPr>
        <w:t>处置费用账户（如有）</w:t>
      </w:r>
    </w:p>
    <w:p w14:paraId="0C5BF262">
      <w:pPr>
        <w:spacing w:line="360" w:lineRule="auto"/>
        <w:ind w:left="851"/>
        <w:rPr>
          <w:rFonts w:eastAsia="楷体_GB2312"/>
          <w:color w:val="000000"/>
          <w:sz w:val="24"/>
        </w:rPr>
      </w:pPr>
      <w:r>
        <w:rPr>
          <w:rFonts w:eastAsia="楷体_GB2312"/>
          <w:color w:val="000000"/>
          <w:sz w:val="24"/>
        </w:rPr>
        <w:t>“处置费用账户”根据本合同从“信托收款账户”中取得资金，“受托人”应于相应的“信托分配日”将“处置费用账户”内资金按照本合同的约定进行分配。</w:t>
      </w:r>
    </w:p>
    <w:p w14:paraId="3E6E480F">
      <w:pPr>
        <w:spacing w:line="360" w:lineRule="auto"/>
        <w:ind w:left="851"/>
        <w:rPr>
          <w:rFonts w:eastAsia="楷体_GB2312"/>
          <w:b/>
          <w:bCs/>
          <w:i/>
          <w:iCs/>
          <w:color w:val="FF0000"/>
          <w:sz w:val="24"/>
        </w:rPr>
      </w:pPr>
      <w:r>
        <w:rPr>
          <w:rFonts w:eastAsia="楷体_GB2312"/>
          <w:b/>
          <w:bCs/>
          <w:i/>
          <w:iCs/>
          <w:color w:val="FF0000"/>
          <w:sz w:val="24"/>
        </w:rPr>
        <w:t>【注：适用于单独设置处置费用账户的情形，可根据项目具体安排进行调整。】</w:t>
      </w:r>
    </w:p>
    <w:p w14:paraId="27CF329B">
      <w:pPr>
        <w:numPr>
          <w:ilvl w:val="1"/>
          <w:numId w:val="7"/>
        </w:numPr>
        <w:spacing w:line="360" w:lineRule="auto"/>
        <w:rPr>
          <w:rFonts w:eastAsia="楷体_GB2312"/>
          <w:b/>
          <w:color w:val="000000"/>
          <w:sz w:val="24"/>
        </w:rPr>
      </w:pPr>
      <w:r>
        <w:rPr>
          <w:rFonts w:eastAsia="楷体_GB2312"/>
          <w:b/>
          <w:color w:val="000000"/>
          <w:sz w:val="24"/>
        </w:rPr>
        <w:t>信托账户内资金的结息</w:t>
      </w:r>
    </w:p>
    <w:p w14:paraId="52D51EE7">
      <w:pPr>
        <w:numPr>
          <w:ilvl w:val="2"/>
          <w:numId w:val="7"/>
        </w:numPr>
        <w:spacing w:line="360" w:lineRule="auto"/>
        <w:rPr>
          <w:rFonts w:eastAsia="楷体_GB2312"/>
          <w:color w:val="000000"/>
          <w:sz w:val="24"/>
        </w:rPr>
      </w:pPr>
      <w:r>
        <w:rPr>
          <w:rFonts w:eastAsia="楷体_GB2312"/>
          <w:color w:val="000000"/>
          <w:sz w:val="24"/>
        </w:rPr>
        <w:t>“信托账户”内的资金所产生的利息由“资金保管机构”根据“《资金保管合同》”的约定结息，该等利息应记入“信托收款账户”。</w:t>
      </w:r>
    </w:p>
    <w:p w14:paraId="550F5F68">
      <w:pPr>
        <w:numPr>
          <w:ilvl w:val="1"/>
          <w:numId w:val="7"/>
        </w:numPr>
        <w:spacing w:line="360" w:lineRule="auto"/>
        <w:rPr>
          <w:rFonts w:eastAsia="楷体_GB2312"/>
          <w:b/>
          <w:color w:val="000000"/>
          <w:sz w:val="24"/>
        </w:rPr>
      </w:pPr>
      <w:bookmarkStart w:id="452" w:name="_Ref449687999"/>
      <w:r>
        <w:rPr>
          <w:rFonts w:eastAsia="楷体_GB2312"/>
          <w:b/>
          <w:color w:val="000000"/>
          <w:sz w:val="24"/>
        </w:rPr>
        <w:t>合格投资</w:t>
      </w:r>
      <w:bookmarkEnd w:id="452"/>
    </w:p>
    <w:p w14:paraId="49CBEA4E">
      <w:pPr>
        <w:numPr>
          <w:ilvl w:val="2"/>
          <w:numId w:val="7"/>
        </w:numPr>
        <w:spacing w:line="360" w:lineRule="auto"/>
        <w:rPr>
          <w:rFonts w:eastAsia="楷体_GB2312"/>
          <w:color w:val="000000"/>
          <w:sz w:val="24"/>
        </w:rPr>
      </w:pPr>
      <w:r>
        <w:rPr>
          <w:rFonts w:eastAsia="楷体_GB2312"/>
          <w:color w:val="000000"/>
          <w:sz w:val="24"/>
        </w:rPr>
        <w:t>“受托人”有权指示“资金保管机构”将“信托账户”中的资金运用于“合格投资”。“信托收款账户”、“信托付款账户”、“信托（流动性）储备账户”</w:t>
      </w:r>
      <w:r>
        <w:rPr>
          <w:rFonts w:eastAsia="楷体_GB2312"/>
          <w:snapToGrid w:val="0"/>
          <w:sz w:val="24"/>
        </w:rPr>
        <w:t>和“处置费用账户”（如有）</w:t>
      </w:r>
      <w:r>
        <w:rPr>
          <w:rFonts w:eastAsia="楷体_GB2312"/>
          <w:color w:val="000000"/>
          <w:sz w:val="24"/>
        </w:rPr>
        <w:t>项下的资金应分别进行投资，且回收的投资本金只能相应转入到支出投资本金的前述账户项下。“受托人”应保存所有按照本合同第</w:t>
      </w:r>
      <w:r>
        <w:rPr>
          <w:rFonts w:eastAsia="楷体_GB2312"/>
          <w:color w:val="000000"/>
        </w:rPr>
        <w:fldChar w:fldCharType="begin"/>
      </w:r>
      <w:r>
        <w:rPr>
          <w:rFonts w:eastAsia="楷体_GB2312"/>
          <w:color w:val="000000"/>
          <w:sz w:val="24"/>
        </w:rPr>
        <w:instrText xml:space="preserve"> REF _Ref449687999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10.7</w:t>
      </w:r>
      <w:r>
        <w:rPr>
          <w:rFonts w:eastAsia="楷体_GB2312"/>
          <w:color w:val="000000"/>
        </w:rPr>
        <w:fldChar w:fldCharType="end"/>
      </w:r>
      <w:r>
        <w:rPr>
          <w:rFonts w:eastAsia="楷体_GB2312"/>
          <w:color w:val="000000"/>
          <w:sz w:val="24"/>
        </w:rPr>
        <w:t>款约定取得、处分“合格投资”的记录。</w:t>
      </w:r>
    </w:p>
    <w:p w14:paraId="2EE87DCA">
      <w:pPr>
        <w:numPr>
          <w:ilvl w:val="2"/>
          <w:numId w:val="7"/>
        </w:numPr>
        <w:spacing w:line="360" w:lineRule="auto"/>
        <w:ind w:left="1701" w:hanging="708"/>
        <w:rPr>
          <w:rFonts w:eastAsia="楷体_GB2312"/>
          <w:color w:val="000000"/>
          <w:sz w:val="24"/>
        </w:rPr>
      </w:pPr>
      <w:r>
        <w:rPr>
          <w:rFonts w:eastAsia="楷体_GB2312"/>
          <w:color w:val="000000"/>
          <w:sz w:val="24"/>
        </w:rPr>
        <w:t>“信托收款账户”、“信托付款账户”、“信托（流动性）储备账户”</w:t>
      </w:r>
      <w:r>
        <w:rPr>
          <w:rFonts w:eastAsia="楷体_GB2312"/>
          <w:snapToGrid w:val="0"/>
          <w:sz w:val="24"/>
        </w:rPr>
        <w:t>和“处置费用账户”（如有）</w:t>
      </w:r>
      <w:r>
        <w:rPr>
          <w:rFonts w:eastAsia="楷体_GB2312"/>
          <w:color w:val="000000"/>
          <w:sz w:val="24"/>
        </w:rPr>
        <w:t>项下资金的“合格投资”的全部投资收益构成“处置收入”的一部分，应直接转入“信托收款账户”，如果“受托人”收到该投资收益的退税款项，应将该款项作为“处置收入”存入“信托收款账户”。</w:t>
      </w:r>
    </w:p>
    <w:p w14:paraId="282E84DA">
      <w:pPr>
        <w:numPr>
          <w:ilvl w:val="2"/>
          <w:numId w:val="7"/>
        </w:numPr>
        <w:spacing w:line="360" w:lineRule="auto"/>
        <w:ind w:left="1701" w:hanging="708"/>
        <w:rPr>
          <w:rFonts w:eastAsia="楷体_GB2312"/>
          <w:color w:val="000000"/>
        </w:rPr>
      </w:pPr>
      <w:r>
        <w:rPr>
          <w:rFonts w:eastAsia="楷体_GB2312"/>
          <w:color w:val="000000"/>
          <w:sz w:val="24"/>
        </w:rPr>
        <w:t>“信托账户”内的资金进行投资所得的投资收益应于每个“信托分配日”按照本合同第</w:t>
      </w:r>
      <w:r>
        <w:rPr>
          <w:rFonts w:eastAsia="楷体_GB2312"/>
          <w:color w:val="000000"/>
          <w:sz w:val="24"/>
        </w:rPr>
        <w:fldChar w:fldCharType="begin"/>
      </w:r>
      <w:r>
        <w:rPr>
          <w:rFonts w:eastAsia="楷体_GB2312"/>
          <w:color w:val="000000"/>
          <w:sz w:val="24"/>
        </w:rPr>
        <w:instrText xml:space="preserve"> REF _Ref201563930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条的约定运用。</w:t>
      </w:r>
    </w:p>
    <w:p w14:paraId="1BAB6A33">
      <w:pPr>
        <w:numPr>
          <w:ilvl w:val="2"/>
          <w:numId w:val="7"/>
        </w:numPr>
        <w:spacing w:line="360" w:lineRule="auto"/>
        <w:ind w:left="1701" w:hanging="708"/>
        <w:rPr>
          <w:rFonts w:eastAsia="楷体_GB2312"/>
          <w:color w:val="000000"/>
          <w:sz w:val="24"/>
        </w:rPr>
      </w:pPr>
      <w:r>
        <w:rPr>
          <w:rFonts w:eastAsia="楷体_GB2312"/>
          <w:color w:val="000000"/>
          <w:sz w:val="24"/>
        </w:rPr>
        <w:t>如果一项投资不再是“合格投资”，“受托人”应事先通知“评级机构”，于实际可行时尽快清算该等投资，并将所得款项再投资于“合格投资”。</w:t>
      </w:r>
    </w:p>
    <w:p w14:paraId="1A15F98D">
      <w:pPr>
        <w:numPr>
          <w:ilvl w:val="2"/>
          <w:numId w:val="7"/>
        </w:numPr>
        <w:spacing w:line="360" w:lineRule="auto"/>
        <w:ind w:left="1701" w:hanging="708"/>
        <w:rPr>
          <w:rFonts w:eastAsia="楷体_GB2312"/>
          <w:color w:val="000000"/>
        </w:rPr>
      </w:pPr>
      <w:r>
        <w:rPr>
          <w:rFonts w:eastAsia="楷体_GB2312"/>
          <w:color w:val="000000"/>
          <w:sz w:val="24"/>
        </w:rPr>
        <w:t>只要“受托人”指示“资金保管机构”将“信托账户”中的资金投资于“合格投资”，“资金保管机构”按照“《资金保管合同》”的约定将“信托账户”中的资金用于“合格投资”，则“资金保管机构”和“受托人”对于因价值贬损或该等“合格投资”造成的任何损失不承担责任，对于该等投资的回报少于采用其他形式投资或向其他机构投资所得的回报也不承担责任。</w:t>
      </w:r>
      <w:bookmarkEnd w:id="451"/>
    </w:p>
    <w:p w14:paraId="58135396">
      <w:pPr>
        <w:numPr>
          <w:ilvl w:val="0"/>
          <w:numId w:val="7"/>
        </w:numPr>
        <w:spacing w:line="360" w:lineRule="auto"/>
        <w:outlineLvl w:val="0"/>
        <w:rPr>
          <w:rFonts w:eastAsia="楷体_GB2312"/>
          <w:b/>
          <w:color w:val="000000"/>
          <w:sz w:val="24"/>
        </w:rPr>
      </w:pPr>
      <w:bookmarkStart w:id="453" w:name="_Toc204497528"/>
      <w:bookmarkEnd w:id="453"/>
      <w:bookmarkStart w:id="454" w:name="_Ref449359897"/>
      <w:bookmarkStart w:id="455" w:name="_Toc201569420"/>
      <w:bookmarkStart w:id="456" w:name="_Ref449361312"/>
      <w:bookmarkStart w:id="457" w:name="_Toc225538159"/>
      <w:bookmarkStart w:id="458" w:name="_Toc219710678"/>
      <w:bookmarkStart w:id="459" w:name="_Ref201563930"/>
      <w:r>
        <w:rPr>
          <w:rFonts w:eastAsia="楷体_GB2312"/>
          <w:b/>
          <w:color w:val="000000"/>
          <w:sz w:val="24"/>
        </w:rPr>
        <w:t>处置收入的转付、核算与分配</w:t>
      </w:r>
      <w:bookmarkEnd w:id="454"/>
      <w:bookmarkEnd w:id="455"/>
      <w:bookmarkEnd w:id="456"/>
      <w:bookmarkEnd w:id="457"/>
      <w:bookmarkEnd w:id="458"/>
      <w:bookmarkEnd w:id="459"/>
    </w:p>
    <w:p w14:paraId="787A98A0">
      <w:pPr>
        <w:numPr>
          <w:ilvl w:val="1"/>
          <w:numId w:val="7"/>
        </w:numPr>
        <w:spacing w:line="360" w:lineRule="auto"/>
        <w:rPr>
          <w:rFonts w:eastAsia="楷体_GB2312"/>
          <w:b/>
          <w:color w:val="000000"/>
          <w:sz w:val="24"/>
        </w:rPr>
      </w:pPr>
      <w:bookmarkStart w:id="460" w:name="_Ref520567639"/>
      <w:r>
        <w:rPr>
          <w:rFonts w:eastAsia="楷体_GB2312"/>
          <w:b/>
          <w:color w:val="000000"/>
          <w:sz w:val="24"/>
        </w:rPr>
        <w:t>处置收入的转付</w:t>
      </w:r>
      <w:bookmarkEnd w:id="460"/>
    </w:p>
    <w:p w14:paraId="123E2AFD">
      <w:pPr>
        <w:pStyle w:val="144"/>
        <w:tabs>
          <w:tab w:val="left" w:pos="425"/>
        </w:tabs>
        <w:spacing w:before="156" w:beforeLines="50" w:after="156" w:afterLines="50" w:line="360" w:lineRule="auto"/>
        <w:ind w:left="1054" w:leftChars="502" w:firstLine="0" w:firstLineChars="0"/>
        <w:rPr>
          <w:rFonts w:eastAsia="楷体_GB2312"/>
          <w:b/>
          <w:bCs/>
          <w:i/>
          <w:iCs/>
          <w:color w:val="FF0000"/>
          <w:sz w:val="24"/>
        </w:rPr>
      </w:pPr>
      <w:bookmarkStart w:id="461" w:name="_Ref446016250"/>
      <w:r>
        <w:rPr>
          <w:rFonts w:eastAsia="楷体_GB2312"/>
          <w:b/>
          <w:bCs/>
          <w:i/>
          <w:iCs/>
          <w:color w:val="FF0000"/>
          <w:sz w:val="24"/>
        </w:rPr>
        <w:t>【注：处置费用的具体转付顺序和收取方式</w:t>
      </w:r>
      <w:r>
        <w:rPr>
          <w:rFonts w:hint="eastAsia" w:eastAsia="楷体_GB2312"/>
          <w:b/>
          <w:bCs/>
          <w:i/>
          <w:iCs/>
          <w:color w:val="FF0000"/>
          <w:sz w:val="24"/>
        </w:rPr>
        <w:t>（</w:t>
      </w:r>
      <w:r>
        <w:rPr>
          <w:rFonts w:eastAsia="楷体_GB2312"/>
          <w:b/>
          <w:bCs/>
          <w:i/>
          <w:iCs/>
          <w:color w:val="FF0000"/>
          <w:sz w:val="24"/>
        </w:rPr>
        <w:t>是否</w:t>
      </w:r>
      <w:r>
        <w:rPr>
          <w:rFonts w:hint="eastAsia" w:eastAsia="楷体_GB2312"/>
          <w:b/>
          <w:bCs/>
          <w:i/>
          <w:iCs/>
          <w:color w:val="FF0000"/>
          <w:sz w:val="24"/>
        </w:rPr>
        <w:t>划付前</w:t>
      </w:r>
      <w:r>
        <w:rPr>
          <w:rFonts w:eastAsia="楷体_GB2312"/>
          <w:b/>
          <w:bCs/>
          <w:i/>
          <w:iCs/>
          <w:color w:val="FF0000"/>
          <w:sz w:val="24"/>
        </w:rPr>
        <w:t>扣除、</w:t>
      </w:r>
      <w:r>
        <w:rPr>
          <w:rFonts w:hint="eastAsia" w:eastAsia="楷体_GB2312"/>
          <w:b/>
          <w:bCs/>
          <w:i/>
          <w:iCs/>
          <w:color w:val="FF0000"/>
          <w:sz w:val="24"/>
        </w:rPr>
        <w:t>是否扣除税费、</w:t>
      </w:r>
      <w:r>
        <w:rPr>
          <w:rFonts w:eastAsia="楷体_GB2312"/>
          <w:b/>
          <w:bCs/>
          <w:i/>
          <w:iCs/>
          <w:color w:val="FF0000"/>
          <w:sz w:val="24"/>
        </w:rPr>
        <w:t>是否包含产生的利息</w:t>
      </w:r>
      <w:r>
        <w:rPr>
          <w:rFonts w:hint="eastAsia" w:eastAsia="楷体_GB2312"/>
          <w:b/>
          <w:bCs/>
          <w:i/>
          <w:iCs/>
          <w:color w:val="FF0000"/>
          <w:sz w:val="24"/>
        </w:rPr>
        <w:t>等）</w:t>
      </w:r>
      <w:r>
        <w:rPr>
          <w:rFonts w:eastAsia="楷体_GB2312"/>
          <w:b/>
          <w:bCs/>
          <w:i/>
          <w:iCs/>
          <w:color w:val="FF0000"/>
          <w:sz w:val="24"/>
        </w:rPr>
        <w:t>可根据项目的实际情况确定和调整。】</w:t>
      </w:r>
    </w:p>
    <w:p w14:paraId="7603DEEF">
      <w:pPr>
        <w:numPr>
          <w:ilvl w:val="2"/>
          <w:numId w:val="7"/>
        </w:numPr>
        <w:spacing w:line="360" w:lineRule="auto"/>
        <w:rPr>
          <w:rFonts w:eastAsia="楷体_GB2312"/>
          <w:b/>
          <w:bCs/>
          <w:i/>
          <w:iCs/>
          <w:color w:val="000000"/>
          <w:sz w:val="24"/>
        </w:rPr>
      </w:pPr>
      <w:bookmarkStart w:id="462" w:name="_Ref48130123"/>
      <w:bookmarkStart w:id="463" w:name="_Ref449363546"/>
      <w:r>
        <w:rPr>
          <w:rFonts w:eastAsia="楷体_GB2312"/>
          <w:color w:val="000000"/>
          <w:sz w:val="24"/>
        </w:rPr>
        <w:t>“委托人”应于【“信托财产交付日”】将“过渡期”内收到的“资产池”产生的全部“处置收入”（【扣除处置费用】/【扣除“过渡期”内“委托人”</w:t>
      </w:r>
      <w:r>
        <w:rPr>
          <w:rFonts w:eastAsia="楷体_GB2312"/>
          <w:sz w:val="24"/>
        </w:rPr>
        <w:t>先行缴纳</w:t>
      </w:r>
      <w:r>
        <w:rPr>
          <w:rFonts w:eastAsia="楷体_GB2312"/>
          <w:color w:val="000000"/>
          <w:sz w:val="24"/>
        </w:rPr>
        <w:t>的“资产池”相关“税费”，且不含该等“处置收入”产生的利息】）转入“信托收款账户”。前述“过渡期”内产生的“处置收入”转入“信托收款账户”的当日，“资金保管机构”根据“受托人”的分配通知将“信托收款账户”内资金按如下顺序和方式进行记账：</w:t>
      </w:r>
      <w:bookmarkEnd w:id="462"/>
    </w:p>
    <w:p w14:paraId="0D8C6B6B">
      <w:pPr>
        <w:spacing w:line="360" w:lineRule="auto"/>
        <w:ind w:left="1559"/>
        <w:rPr>
          <w:rFonts w:eastAsia="楷体_GB2312"/>
          <w:color w:val="000000"/>
          <w:sz w:val="24"/>
        </w:rPr>
      </w:pPr>
      <w:r>
        <w:rPr>
          <w:rFonts w:eastAsia="楷体_GB2312"/>
          <w:b/>
          <w:bCs/>
          <w:i/>
          <w:iCs/>
          <w:color w:val="FF0000"/>
          <w:sz w:val="24"/>
        </w:rPr>
        <w:t>【适用于未设置处置费用账户的情形】</w:t>
      </w:r>
      <w:r>
        <w:rPr>
          <w:rFonts w:eastAsia="楷体_GB2312"/>
          <w:color w:val="000000"/>
          <w:sz w:val="24"/>
        </w:rPr>
        <w:t>(1)将相当于“信托财产”应支付的“发行费用”的金额记入“信托分配（费用和开支）账户”；(2)如有剩余，则将剩余款项留存于“信托收款账户”。</w:t>
      </w:r>
    </w:p>
    <w:p w14:paraId="5F018D42">
      <w:pPr>
        <w:spacing w:line="360" w:lineRule="auto"/>
        <w:ind w:left="1559"/>
        <w:rPr>
          <w:rFonts w:eastAsia="楷体_GB2312"/>
          <w:color w:val="000000"/>
          <w:sz w:val="24"/>
        </w:rPr>
      </w:pPr>
      <w:r>
        <w:rPr>
          <w:rFonts w:eastAsia="楷体_GB2312"/>
          <w:b/>
          <w:bCs/>
          <w:i/>
          <w:iCs/>
          <w:color w:val="FF0000"/>
          <w:sz w:val="24"/>
        </w:rPr>
        <w:t>【适用于设置处置费用账户的情形】</w:t>
      </w:r>
      <w:r>
        <w:rPr>
          <w:rFonts w:eastAsia="楷体_GB2312"/>
          <w:color w:val="000000"/>
          <w:sz w:val="24"/>
        </w:rPr>
        <w:t>(1)将相当于“信托财产”应支付的“发行费用”的金额记入“信托分配（费用和开支）账户”；【(2)将相当于“过渡期”内“处置收入”对应的“处置费用”的金额记入“处置费用账户”/“贷款服务机构”指定账户；】(3)如有剩余，则将剩余款项留存于“信托收款账户”。</w:t>
      </w:r>
      <w:bookmarkEnd w:id="463"/>
    </w:p>
    <w:bookmarkEnd w:id="461"/>
    <w:p w14:paraId="59950F51">
      <w:pPr>
        <w:numPr>
          <w:ilvl w:val="2"/>
          <w:numId w:val="7"/>
        </w:numPr>
        <w:spacing w:line="360" w:lineRule="auto"/>
        <w:rPr>
          <w:rFonts w:eastAsia="楷体_GB2312"/>
          <w:color w:val="000000"/>
          <w:sz w:val="24"/>
        </w:rPr>
      </w:pPr>
      <w:bookmarkStart w:id="464" w:name="_Ref449363557"/>
      <w:r>
        <w:rPr>
          <w:rFonts w:eastAsia="楷体_GB2312"/>
          <w:color w:val="000000"/>
          <w:sz w:val="24"/>
        </w:rPr>
        <w:t>在“信托”设立后，“受托人”应授权并要求“贷款服务机构”按照“《服务合同》”的相关约定，于每个“处置收入转付日”【</w:t>
      </w:r>
      <w:r>
        <w:rPr>
          <w:rFonts w:eastAsia="楷体_GB2312"/>
          <w:i/>
          <w:iCs/>
          <w:color w:val="000000"/>
          <w:sz w:val="24"/>
        </w:rPr>
        <w:t>具体时点</w:t>
      </w:r>
      <w:r>
        <w:rPr>
          <w:rFonts w:eastAsia="楷体_GB2312"/>
          <w:color w:val="000000"/>
          <w:sz w:val="24"/>
        </w:rPr>
        <w:t>】前将</w:t>
      </w:r>
      <w:r>
        <w:rPr>
          <w:rFonts w:eastAsia="楷体_GB2312"/>
          <w:color w:val="000000"/>
          <w:sz w:val="24"/>
          <w:szCs w:val="28"/>
        </w:rPr>
        <w:t>前一个“处置收入转付期间”</w:t>
      </w:r>
      <w:r>
        <w:rPr>
          <w:rFonts w:eastAsia="楷体_GB2312"/>
          <w:color w:val="000000"/>
          <w:sz w:val="24"/>
        </w:rPr>
        <w:t>的全部“处置收入”（【扣除相应“处置费用”后】）转入“信托账户”。在“贷款服务机构”于每个“处置收入转付日”转付“处置收入”以前，“处置收入”在“贷款服务机构”的账户中不计利息。</w:t>
      </w:r>
    </w:p>
    <w:p w14:paraId="4679774F">
      <w:pPr>
        <w:spacing w:line="360" w:lineRule="auto"/>
        <w:ind w:left="1559"/>
      </w:pPr>
      <w:r>
        <w:rPr>
          <w:rFonts w:eastAsia="楷体_GB2312"/>
          <w:b/>
          <w:bCs/>
          <w:i/>
          <w:iCs/>
          <w:color w:val="FF0000"/>
          <w:sz w:val="24"/>
        </w:rPr>
        <w:t>【适用于单独设置“处置费用账户”的情形】</w:t>
      </w:r>
      <w:r>
        <w:rPr>
          <w:rFonts w:eastAsia="楷体_GB2312"/>
          <w:color w:val="000000"/>
          <w:sz w:val="24"/>
        </w:rPr>
        <w:t>在“信托终止日”前，“受托人”应于每个“信托核算日”核算当个“支付日”对应的“收款期间”收到的所有“处置收入”对应的“处置费用”金额，并于对应的“信托分配日”向“资金保管机构”发送相应的“分配指令”将相当于上述“处置费用”的金额计入“处置费用账户”。在“信托终止日”后，“受托人”应将清算所得的“处置收入”对应的“处置费用”总金额在“分配指令”中指示“资金保管机构”计入“处置费用账户”。</w:t>
      </w:r>
    </w:p>
    <w:bookmarkEnd w:id="464"/>
    <w:p w14:paraId="3CE2E638">
      <w:pPr>
        <w:numPr>
          <w:ilvl w:val="1"/>
          <w:numId w:val="7"/>
        </w:numPr>
        <w:spacing w:line="360" w:lineRule="auto"/>
        <w:rPr>
          <w:rFonts w:eastAsia="楷体_GB2312"/>
          <w:b/>
          <w:color w:val="000000"/>
          <w:sz w:val="24"/>
        </w:rPr>
      </w:pPr>
      <w:r>
        <w:rPr>
          <w:rFonts w:eastAsia="楷体_GB2312"/>
          <w:b/>
          <w:color w:val="000000"/>
          <w:sz w:val="24"/>
        </w:rPr>
        <w:t>信托账户内资金的核算与分配</w:t>
      </w:r>
    </w:p>
    <w:p w14:paraId="67A6C7FC">
      <w:pPr>
        <w:spacing w:line="360" w:lineRule="auto"/>
        <w:ind w:left="993" w:firstLine="5"/>
        <w:rPr>
          <w:rFonts w:eastAsia="楷体_GB2312"/>
          <w:b/>
          <w:i/>
          <w:iCs/>
          <w:color w:val="FF0000"/>
          <w:sz w:val="24"/>
        </w:rPr>
      </w:pPr>
      <w:r>
        <w:rPr>
          <w:rFonts w:eastAsia="楷体_GB2312"/>
          <w:b/>
          <w:i/>
          <w:iCs/>
          <w:color w:val="FF0000"/>
          <w:sz w:val="24"/>
        </w:rPr>
        <w:t>【注：信托账项下资金的核算与分配时间可根据证券分层和实际情况调整。】</w:t>
      </w:r>
    </w:p>
    <w:p w14:paraId="0452FFFE">
      <w:pPr>
        <w:numPr>
          <w:ilvl w:val="2"/>
          <w:numId w:val="7"/>
        </w:numPr>
        <w:spacing w:line="360" w:lineRule="auto"/>
        <w:ind w:left="1620" w:hanging="708"/>
        <w:rPr>
          <w:rFonts w:eastAsia="楷体_GB2312"/>
          <w:b/>
          <w:color w:val="000000"/>
          <w:sz w:val="24"/>
        </w:rPr>
      </w:pPr>
      <w:r>
        <w:rPr>
          <w:rFonts w:eastAsia="楷体_GB2312"/>
          <w:color w:val="000000"/>
          <w:sz w:val="24"/>
        </w:rPr>
        <w:t>“资产支持证券持有人”均有权按照本合同第</w:t>
      </w:r>
      <w:r>
        <w:rPr>
          <w:rFonts w:eastAsia="楷体_GB2312"/>
          <w:color w:val="000000"/>
        </w:rPr>
        <w:fldChar w:fldCharType="begin"/>
      </w:r>
      <w:r>
        <w:rPr>
          <w:rFonts w:eastAsia="楷体_GB2312"/>
          <w:color w:val="000000"/>
          <w:sz w:val="24"/>
        </w:rPr>
        <w:instrText xml:space="preserve"> REF _Ref201563930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条的约定就其享有的“信托受益权”取得“信托利益”。</w:t>
      </w:r>
    </w:p>
    <w:p w14:paraId="7F3366E5">
      <w:pPr>
        <w:numPr>
          <w:ilvl w:val="2"/>
          <w:numId w:val="7"/>
        </w:numPr>
        <w:spacing w:line="360" w:lineRule="auto"/>
        <w:ind w:left="1701" w:hanging="708"/>
        <w:rPr>
          <w:rFonts w:eastAsia="楷体_GB2312"/>
          <w:color w:val="000000"/>
          <w:sz w:val="24"/>
        </w:rPr>
      </w:pPr>
      <w:r>
        <w:rPr>
          <w:rFonts w:eastAsia="楷体_GB2312"/>
          <w:color w:val="000000"/>
          <w:sz w:val="24"/>
        </w:rPr>
        <w:t>“受托人”负责本“信托”项下各项“税费”、费用、报酬等的核算工作，并应妥善保管上述“税费”、费用和报酬的相关单据、凭证。“受托人”以其固有财产垫付上述各项“税费”、费用或报酬的，对“信托财产”享有按照本合同第</w:t>
      </w:r>
      <w:r>
        <w:rPr>
          <w:rFonts w:eastAsia="楷体_GB2312"/>
          <w:color w:val="000000"/>
        </w:rPr>
        <w:fldChar w:fldCharType="begin"/>
      </w:r>
      <w:r>
        <w:rPr>
          <w:rFonts w:eastAsia="楷体_GB2312"/>
          <w:color w:val="000000"/>
        </w:rPr>
        <w:instrText xml:space="preserve"> 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条约定的支付顺序优先受偿的权利。</w:t>
      </w:r>
    </w:p>
    <w:p w14:paraId="71FF6529">
      <w:pPr>
        <w:numPr>
          <w:ilvl w:val="2"/>
          <w:numId w:val="7"/>
        </w:numPr>
        <w:spacing w:line="360" w:lineRule="auto"/>
        <w:ind w:left="1701" w:hanging="708"/>
        <w:rPr>
          <w:rFonts w:eastAsia="楷体_GB2312"/>
          <w:color w:val="000000"/>
          <w:sz w:val="24"/>
        </w:rPr>
      </w:pPr>
      <w:bookmarkStart w:id="465" w:name="_Ref217573794"/>
      <w:r>
        <w:rPr>
          <w:rFonts w:eastAsia="楷体_GB2312"/>
          <w:color w:val="000000"/>
          <w:sz w:val="24"/>
        </w:rPr>
        <w:t>“受托人”应于每个【“信托核算日”/“信托分配日”】核算“信托账户”各分账户项下资金及该“信托分配日”后第一个“支付日”（或</w:t>
      </w:r>
      <w:r>
        <w:rPr>
          <w:rFonts w:eastAsia="楷体_GB2312"/>
          <w:bCs/>
          <w:color w:val="000000"/>
          <w:sz w:val="24"/>
        </w:rPr>
        <w:t>“</w:t>
      </w:r>
      <w:r>
        <w:rPr>
          <w:rFonts w:eastAsia="楷体_GB2312"/>
          <w:color w:val="000000"/>
          <w:sz w:val="24"/>
        </w:rPr>
        <w:t>中国”“法律”规定、“交易文件”约定的其他日期）应支付的“资产支持证券”本息和“费用支出”等有关的每笔资金数额，并于“信托分配日”按照本合同第</w:t>
      </w:r>
      <w:r>
        <w:rPr>
          <w:rFonts w:eastAsia="楷体_GB2312"/>
          <w:color w:val="000000"/>
        </w:rPr>
        <w:fldChar w:fldCharType="begin"/>
      </w:r>
      <w:r>
        <w:rPr>
          <w:rFonts w:eastAsia="楷体_GB2312"/>
          <w:color w:val="000000"/>
        </w:rPr>
        <w:instrText xml:space="preserve"> 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条的约定进行相应的分配或运用。</w:t>
      </w:r>
      <w:bookmarkEnd w:id="465"/>
    </w:p>
    <w:p w14:paraId="6DD8CD67">
      <w:pPr>
        <w:numPr>
          <w:ilvl w:val="2"/>
          <w:numId w:val="7"/>
        </w:numPr>
        <w:spacing w:line="360" w:lineRule="auto"/>
        <w:rPr>
          <w:rFonts w:eastAsia="楷体_GB2312"/>
          <w:color w:val="000000"/>
          <w:sz w:val="24"/>
        </w:rPr>
      </w:pPr>
      <w:r>
        <w:rPr>
          <w:rFonts w:eastAsia="楷体_GB2312"/>
          <w:color w:val="000000"/>
          <w:sz w:val="24"/>
        </w:rPr>
        <w:t>在“信托终止日”之前，所有“处置收入”（【扣除“处置费用”和“过渡期”内“委托人”</w:t>
      </w:r>
      <w:r>
        <w:rPr>
          <w:rFonts w:eastAsia="楷体_GB2312"/>
          <w:sz w:val="24"/>
        </w:rPr>
        <w:t>先行缴纳</w:t>
      </w:r>
      <w:r>
        <w:rPr>
          <w:rFonts w:eastAsia="楷体_GB2312"/>
          <w:color w:val="000000"/>
          <w:sz w:val="24"/>
        </w:rPr>
        <w:t>的“资产池”相关“税费”（且不含“处置收入”在“过渡期”内产生的利息）后】）应按照本合同第</w:t>
      </w:r>
      <w:r>
        <w:rPr>
          <w:rFonts w:eastAsia="楷体_GB2312"/>
          <w:color w:val="000000"/>
        </w:rPr>
        <w:fldChar w:fldCharType="begin"/>
      </w:r>
      <w:r>
        <w:rPr>
          <w:rFonts w:eastAsia="楷体_GB2312"/>
          <w:color w:val="000000"/>
          <w:sz w:val="24"/>
        </w:rPr>
        <w:instrText xml:space="preserve"> REF _Ref180850300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11.3</w:t>
      </w:r>
      <w:r>
        <w:rPr>
          <w:rFonts w:eastAsia="楷体_GB2312"/>
          <w:color w:val="000000"/>
        </w:rPr>
        <w:fldChar w:fldCharType="end"/>
      </w:r>
      <w:r>
        <w:rPr>
          <w:rFonts w:eastAsia="楷体_GB2312"/>
          <w:color w:val="000000"/>
          <w:sz w:val="24"/>
        </w:rPr>
        <w:t>款或第</w:t>
      </w:r>
      <w:r>
        <w:rPr>
          <w:rFonts w:eastAsia="楷体_GB2312"/>
          <w:color w:val="000000"/>
        </w:rPr>
        <w:fldChar w:fldCharType="begin"/>
      </w:r>
      <w:r>
        <w:rPr>
          <w:rFonts w:eastAsia="楷体_GB2312"/>
          <w:color w:val="000000"/>
          <w:sz w:val="24"/>
        </w:rPr>
        <w:instrText xml:space="preserve"> REF _Ref180850304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11.4</w:t>
      </w:r>
      <w:r>
        <w:rPr>
          <w:rFonts w:eastAsia="楷体_GB2312"/>
          <w:color w:val="000000"/>
        </w:rPr>
        <w:fldChar w:fldCharType="end"/>
      </w:r>
      <w:r>
        <w:rPr>
          <w:rFonts w:eastAsia="楷体_GB2312"/>
          <w:color w:val="000000"/>
          <w:sz w:val="24"/>
        </w:rPr>
        <w:t>款约定的相应顺序进行分配；在“信托终止日”后，所有“处置收入”（【扣除“处置费用”和“过渡期”内“委托人”</w:t>
      </w:r>
      <w:r>
        <w:rPr>
          <w:rFonts w:eastAsia="楷体_GB2312"/>
          <w:sz w:val="24"/>
        </w:rPr>
        <w:t>先行缴纳</w:t>
      </w:r>
      <w:r>
        <w:rPr>
          <w:rFonts w:eastAsia="楷体_GB2312"/>
          <w:color w:val="000000"/>
          <w:sz w:val="24"/>
        </w:rPr>
        <w:t>的“资产池”相关“税费”（且不含“处置收入”在“过渡期”内产生的利息）后】）应按照本合同第</w:t>
      </w:r>
      <w:r>
        <w:rPr>
          <w:rFonts w:eastAsia="楷体_GB2312"/>
          <w:color w:val="000000"/>
        </w:rPr>
        <w:fldChar w:fldCharType="begin"/>
      </w:r>
      <w:r>
        <w:rPr>
          <w:rFonts w:eastAsia="楷体_GB2312"/>
          <w:color w:val="000000"/>
          <w:sz w:val="24"/>
        </w:rPr>
        <w:instrText xml:space="preserve"> REF _Ref520391584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11.5</w:t>
      </w:r>
      <w:r>
        <w:rPr>
          <w:rFonts w:eastAsia="楷体_GB2312"/>
          <w:color w:val="000000"/>
        </w:rPr>
        <w:fldChar w:fldCharType="end"/>
      </w:r>
      <w:r>
        <w:rPr>
          <w:rFonts w:eastAsia="楷体_GB2312"/>
          <w:color w:val="000000"/>
          <w:sz w:val="24"/>
        </w:rPr>
        <w:t>款约定的顺序进行分配。</w:t>
      </w:r>
    </w:p>
    <w:p w14:paraId="314CDDD5">
      <w:pPr>
        <w:spacing w:line="360" w:lineRule="auto"/>
        <w:ind w:left="1418"/>
        <w:rPr>
          <w:rFonts w:eastAsia="楷体_GB2312"/>
          <w:b/>
          <w:i/>
          <w:iCs/>
          <w:kern w:val="28"/>
          <w:sz w:val="24"/>
        </w:rPr>
      </w:pPr>
      <w:r>
        <w:rPr>
          <w:rFonts w:eastAsia="楷体_GB2312"/>
          <w:b/>
          <w:bCs/>
          <w:i/>
          <w:iCs/>
          <w:color w:val="FF0000"/>
          <w:sz w:val="24"/>
        </w:rPr>
        <w:t>【注：根据具体项目情况确定是否从“处置收入”中先扣除“处置费用”、“过渡期”内“委托人”先行缴纳的“资产池”相关“税费”（如有）及其他费用、是否包含过渡期处置收入产生的利息。】</w:t>
      </w:r>
    </w:p>
    <w:p w14:paraId="6CE70021">
      <w:pPr>
        <w:numPr>
          <w:ilvl w:val="2"/>
          <w:numId w:val="7"/>
        </w:numPr>
        <w:spacing w:line="360" w:lineRule="auto"/>
        <w:rPr>
          <w:rFonts w:eastAsia="楷体_GB2312"/>
          <w:color w:val="000000"/>
          <w:sz w:val="24"/>
        </w:rPr>
      </w:pPr>
      <w:r>
        <w:rPr>
          <w:rFonts w:eastAsia="楷体_GB2312"/>
          <w:color w:val="000000"/>
          <w:sz w:val="24"/>
        </w:rPr>
        <w:t>对于“资金保管机构”收取的资金汇划费，“资金保管机构”应根据“《资金保管合同》”的约定作为“费用支出”，在该等费用发生时从“信托账户”的“保管资金”中予以直接扣收。</w:t>
      </w:r>
    </w:p>
    <w:bookmarkEnd w:id="446"/>
    <w:bookmarkEnd w:id="447"/>
    <w:p w14:paraId="74FCE453">
      <w:pPr>
        <w:numPr>
          <w:ilvl w:val="2"/>
          <w:numId w:val="7"/>
        </w:numPr>
        <w:spacing w:line="360" w:lineRule="auto"/>
        <w:ind w:left="1701" w:hanging="708"/>
        <w:rPr>
          <w:rFonts w:eastAsia="楷体_GB2312"/>
          <w:color w:val="000000"/>
        </w:rPr>
      </w:pPr>
      <w:bookmarkStart w:id="466" w:name="_Toc150895712"/>
      <w:bookmarkEnd w:id="466"/>
      <w:r>
        <w:rPr>
          <w:rFonts w:eastAsia="楷体_GB2312"/>
          <w:color w:val="000000"/>
          <w:sz w:val="24"/>
        </w:rPr>
        <w:t>“受托人”应不晚于每个“支付日”前的第【】个“工作日”向“资金保管机构”发送“划款指令”：</w:t>
      </w:r>
    </w:p>
    <w:p w14:paraId="24D04B8D">
      <w:pPr>
        <w:numPr>
          <w:ilvl w:val="0"/>
          <w:numId w:val="23"/>
        </w:numPr>
        <w:spacing w:line="360" w:lineRule="auto"/>
        <w:rPr>
          <w:rFonts w:eastAsia="楷体_GB2312"/>
          <w:b/>
          <w:i/>
          <w:iCs/>
          <w:color w:val="FF0000"/>
          <w:kern w:val="28"/>
          <w:sz w:val="24"/>
        </w:rPr>
      </w:pPr>
      <w:r>
        <w:rPr>
          <w:rFonts w:eastAsia="楷体_GB2312"/>
          <w:color w:val="000000"/>
          <w:sz w:val="24"/>
        </w:rPr>
        <w:t>指令“资金保管机构”不晚于每个“支付日”将“处置费用账户”中相当于该“支付日”对应的“收款期间”收到的所有“处置收入”对应的“处置费用”的金额【（就第一个“收款期间”而言，不包括“过渡期”内“处置收入”对应的“处置费用”金额）】或“受托人”清算所得的“处置收入”对应的“处置费用”总金额（“信托终止日”后）划转至“贷款服务机构”指定的资金账户，用于支付“处置费用”</w:t>
      </w:r>
      <w:r>
        <w:rPr>
          <w:rFonts w:eastAsia="楷体_GB2312"/>
          <w:sz w:val="24"/>
        </w:rPr>
        <w:t>；</w:t>
      </w:r>
      <w:r>
        <w:rPr>
          <w:rFonts w:eastAsia="楷体_GB2312"/>
          <w:b/>
          <w:bCs/>
          <w:i/>
          <w:iCs/>
          <w:color w:val="FF0000"/>
          <w:sz w:val="24"/>
        </w:rPr>
        <w:t>【注：1、本款适用于单独设置处置费用账户的情形，并根据项目具体情况选择适用。2、如过渡期处置收入转付前已扣除相应处置费用，则第一个收款期间对应的处置费用的应对相应扣减该部分金额。】</w:t>
      </w:r>
    </w:p>
    <w:p w14:paraId="65EF1C63">
      <w:pPr>
        <w:numPr>
          <w:ilvl w:val="0"/>
          <w:numId w:val="23"/>
        </w:numPr>
        <w:spacing w:line="360" w:lineRule="auto"/>
        <w:rPr>
          <w:rFonts w:eastAsia="楷体_GB2312"/>
          <w:color w:val="000000"/>
          <w:sz w:val="24"/>
        </w:rPr>
      </w:pPr>
      <w:r>
        <w:rPr>
          <w:rFonts w:eastAsia="楷体_GB2312"/>
          <w:color w:val="000000"/>
          <w:sz w:val="24"/>
        </w:rPr>
        <w:t>指令“资金保管机构”不晚于每个“支付日”前第【】个“工作日”【</w:t>
      </w:r>
      <w:r>
        <w:rPr>
          <w:rFonts w:eastAsia="楷体_GB2312"/>
          <w:i/>
          <w:iCs/>
          <w:color w:val="000000"/>
          <w:sz w:val="24"/>
        </w:rPr>
        <w:t>具体时点</w:t>
      </w:r>
      <w:r>
        <w:rPr>
          <w:rFonts w:eastAsia="楷体_GB2312"/>
          <w:color w:val="000000"/>
          <w:sz w:val="24"/>
        </w:rPr>
        <w:t>】前将“信托账户”中相当于</w:t>
      </w:r>
      <w:r>
        <w:rPr>
          <w:rFonts w:eastAsia="楷体_GB2312"/>
          <w:sz w:val="24"/>
        </w:rPr>
        <w:t>向“支付代理机构”发送的资产支持证券付息兑付或收益分配指令所载明的金额</w:t>
      </w:r>
      <w:r>
        <w:rPr>
          <w:rFonts w:eastAsia="楷体_GB2312"/>
          <w:color w:val="000000"/>
          <w:sz w:val="24"/>
        </w:rPr>
        <w:t>的资金划转至“支付代理机构”指定的资金账户，用于兑付“资产支持证券”的本息；</w:t>
      </w:r>
    </w:p>
    <w:p w14:paraId="2120FCB3">
      <w:pPr>
        <w:numPr>
          <w:ilvl w:val="0"/>
          <w:numId w:val="23"/>
        </w:numPr>
        <w:spacing w:line="360" w:lineRule="auto"/>
        <w:rPr>
          <w:rFonts w:eastAsia="楷体_GB2312"/>
          <w:color w:val="000000"/>
        </w:rPr>
      </w:pPr>
      <w:r>
        <w:rPr>
          <w:rFonts w:eastAsia="楷体_GB2312"/>
          <w:color w:val="000000"/>
          <w:sz w:val="24"/>
        </w:rPr>
        <w:t>指令“资金保管机构”于每个“支付日”（或</w:t>
      </w:r>
      <w:r>
        <w:rPr>
          <w:rFonts w:eastAsia="楷体_GB2312"/>
          <w:bCs/>
          <w:color w:val="000000"/>
          <w:sz w:val="24"/>
        </w:rPr>
        <w:t>“</w:t>
      </w:r>
      <w:r>
        <w:rPr>
          <w:rFonts w:eastAsia="楷体_GB2312"/>
          <w:color w:val="000000"/>
          <w:sz w:val="24"/>
        </w:rPr>
        <w:t>中国”“法律”规定、“交易文件”约定的其他日期）将“信托账户”中相应数额的资金划转至指定账户，用于支付“信托财产”应付的“</w:t>
      </w:r>
      <w:r>
        <w:rPr>
          <w:rFonts w:eastAsia="楷体_GB2312"/>
          <w:color w:val="000000"/>
          <w:w w:val="0"/>
          <w:sz w:val="24"/>
          <w:u w:val="double"/>
        </w:rPr>
        <w:t>税费</w:t>
      </w:r>
      <w:r>
        <w:rPr>
          <w:rFonts w:eastAsia="楷体_GB2312"/>
          <w:color w:val="000000"/>
          <w:sz w:val="24"/>
        </w:rPr>
        <w:t>”、费用、报酬。</w:t>
      </w:r>
    </w:p>
    <w:p w14:paraId="098B26BD">
      <w:pPr>
        <w:numPr>
          <w:ilvl w:val="2"/>
          <w:numId w:val="7"/>
        </w:numPr>
        <w:spacing w:line="360" w:lineRule="auto"/>
        <w:ind w:left="1701" w:hanging="708"/>
        <w:rPr>
          <w:rFonts w:eastAsia="楷体_GB2312"/>
          <w:color w:val="000000"/>
        </w:rPr>
      </w:pPr>
      <w:r>
        <w:rPr>
          <w:rFonts w:eastAsia="楷体_GB2312"/>
          <w:color w:val="000000"/>
          <w:sz w:val="24"/>
        </w:rPr>
        <w:t>在“支付日”后【】个“工作日”内，“受托人”向“支付代理机构”支付代理兑付、付息服务报酬。</w:t>
      </w:r>
    </w:p>
    <w:p w14:paraId="3A59CD9E">
      <w:pPr>
        <w:numPr>
          <w:ilvl w:val="1"/>
          <w:numId w:val="7"/>
        </w:numPr>
        <w:spacing w:line="360" w:lineRule="auto"/>
        <w:rPr>
          <w:rFonts w:eastAsia="楷体_GB2312"/>
          <w:b/>
          <w:color w:val="000000"/>
          <w:sz w:val="24"/>
        </w:rPr>
      </w:pPr>
      <w:bookmarkStart w:id="467" w:name="_Ref169088858"/>
      <w:bookmarkStart w:id="468" w:name="_Ref488380190"/>
      <w:bookmarkStart w:id="469" w:name="_Ref180850300"/>
      <w:bookmarkStart w:id="470" w:name="_Toc201569421"/>
      <w:r>
        <w:rPr>
          <w:rFonts w:eastAsia="楷体_GB2312"/>
          <w:b/>
          <w:color w:val="000000"/>
          <w:sz w:val="24"/>
        </w:rPr>
        <w:t>违约事件发生前</w:t>
      </w:r>
      <w:bookmarkEnd w:id="467"/>
      <w:r>
        <w:rPr>
          <w:rFonts w:eastAsia="楷体_GB2312"/>
          <w:b/>
          <w:color w:val="000000"/>
          <w:sz w:val="24"/>
        </w:rPr>
        <w:t>信托收款账户的分配</w:t>
      </w:r>
      <w:bookmarkEnd w:id="468"/>
      <w:bookmarkEnd w:id="469"/>
      <w:bookmarkEnd w:id="470"/>
    </w:p>
    <w:p w14:paraId="2231FFA4">
      <w:pPr>
        <w:pStyle w:val="131"/>
        <w:spacing w:line="360" w:lineRule="auto"/>
        <w:ind w:left="850" w:leftChars="405" w:firstLine="132" w:firstLineChars="0"/>
        <w:rPr>
          <w:rFonts w:eastAsiaTheme="minorEastAsia"/>
          <w:b/>
          <w:i/>
          <w:iCs/>
          <w:color w:val="FF0000"/>
          <w:lang w:eastAsia="zh-CN"/>
        </w:rPr>
      </w:pPr>
      <w:r>
        <w:rPr>
          <w:rFonts w:eastAsia="楷体_GB2312"/>
          <w:b/>
          <w:bCs/>
          <w:i/>
          <w:iCs/>
          <w:color w:val="FF0000"/>
          <w:lang w:eastAsia="zh-CN"/>
        </w:rPr>
        <w:t>【注：具体项目的现金流分配顺序待根据实际情况调整。】</w:t>
      </w:r>
    </w:p>
    <w:p w14:paraId="7328F6DD">
      <w:pPr>
        <w:spacing w:line="360" w:lineRule="auto"/>
        <w:ind w:left="992"/>
        <w:rPr>
          <w:rFonts w:eastAsia="楷体_GB2312"/>
          <w:color w:val="000000"/>
          <w:sz w:val="24"/>
        </w:rPr>
      </w:pPr>
      <w:r>
        <w:rPr>
          <w:rFonts w:eastAsia="楷体_GB2312"/>
          <w:color w:val="000000"/>
          <w:sz w:val="24"/>
        </w:rPr>
        <w:t>在“违约事件”发生前，“受托人”应于每一个“信托分配日”向“资金保管机构”发出“分配指令”，指令“资金保管机构”将“信托收款账户”的账户余额以及于该“信托分配日”按照本合同第</w:t>
      </w:r>
      <w:r>
        <w:rPr>
          <w:rFonts w:eastAsia="楷体_GB2312"/>
          <w:color w:val="000000"/>
          <w:sz w:val="24"/>
        </w:rPr>
        <w:fldChar w:fldCharType="begin"/>
      </w:r>
      <w:r>
        <w:rPr>
          <w:rFonts w:eastAsia="楷体_GB2312"/>
          <w:color w:val="000000"/>
          <w:sz w:val="24"/>
        </w:rPr>
        <w:instrText xml:space="preserve"> REF _Ref449564181 \r \h  \* MERGEFORMAT </w:instrText>
      </w:r>
      <w:r>
        <w:rPr>
          <w:rFonts w:eastAsia="楷体_GB2312"/>
          <w:color w:val="000000"/>
          <w:sz w:val="24"/>
        </w:rPr>
        <w:fldChar w:fldCharType="separate"/>
      </w:r>
      <w:r>
        <w:rPr>
          <w:rFonts w:eastAsia="楷体_GB2312"/>
          <w:color w:val="000000"/>
          <w:sz w:val="24"/>
        </w:rPr>
        <w:t>11.6</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_Ref520400643 \r \h  \* MERGEFORMAT </w:instrText>
      </w:r>
      <w:r>
        <w:rPr>
          <w:rFonts w:eastAsia="楷体_GB2312"/>
          <w:color w:val="000000"/>
          <w:sz w:val="24"/>
        </w:rPr>
        <w:fldChar w:fldCharType="separate"/>
      </w:r>
      <w:r>
        <w:rPr>
          <w:rFonts w:eastAsia="楷体_GB2312"/>
          <w:color w:val="000000"/>
          <w:sz w:val="24"/>
        </w:rPr>
        <w:t>11.7</w:t>
      </w:r>
      <w:r>
        <w:rPr>
          <w:rFonts w:eastAsia="楷体_GB2312"/>
          <w:color w:val="000000"/>
          <w:sz w:val="24"/>
        </w:rPr>
        <w:fldChar w:fldCharType="end"/>
      </w:r>
      <w:r>
        <w:rPr>
          <w:rFonts w:eastAsia="楷体_GB2312"/>
          <w:color w:val="000000"/>
          <w:sz w:val="24"/>
        </w:rPr>
        <w:t>款的约定从相应账户转入“信托收款账户”的资金的总金额按以下顺序进行分配（如不足以分配，同顺序的各项应受偿金额按比例分配，且各项所差金额应按以下顺序在下一期分配）：</w:t>
      </w:r>
    </w:p>
    <w:p w14:paraId="059376A6">
      <w:pPr>
        <w:numPr>
          <w:ilvl w:val="0"/>
          <w:numId w:val="24"/>
        </w:numPr>
        <w:tabs>
          <w:tab w:val="left" w:pos="1560"/>
        </w:tabs>
        <w:spacing w:line="360" w:lineRule="auto"/>
        <w:ind w:left="1558" w:leftChars="473" w:hanging="565"/>
        <w:rPr>
          <w:rFonts w:eastAsia="楷体_GB2312"/>
          <w:color w:val="000000"/>
          <w:sz w:val="24"/>
        </w:rPr>
      </w:pPr>
      <w:bookmarkStart w:id="471" w:name="_Ref112316473"/>
      <w:bookmarkStart w:id="472" w:name="_Ref111348174"/>
      <w:r>
        <w:rPr>
          <w:rFonts w:eastAsia="楷体_GB2312"/>
          <w:color w:val="000000"/>
          <w:sz w:val="24"/>
        </w:rPr>
        <w:t>将依据相关</w:t>
      </w:r>
      <w:r>
        <w:rPr>
          <w:rFonts w:eastAsia="楷体_GB2312"/>
          <w:bCs/>
          <w:color w:val="000000"/>
          <w:sz w:val="24"/>
        </w:rPr>
        <w:t>“</w:t>
      </w:r>
      <w:r>
        <w:rPr>
          <w:rFonts w:eastAsia="楷体_GB2312"/>
          <w:color w:val="000000"/>
          <w:sz w:val="24"/>
        </w:rPr>
        <w:t>中国”“法律”应由“受托人”缴纳的与“信托”相关的“税费”记入“信托分配（税收）账户”；</w:t>
      </w:r>
      <w:bookmarkEnd w:id="471"/>
    </w:p>
    <w:p w14:paraId="053B6340">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同顺序将应支付但尚未支付的各项“发行费用”（包括“受托机构”垫付的该等费用（如有））的总额记入“信托分配（费用和开支）账户”；</w:t>
      </w:r>
    </w:p>
    <w:p w14:paraId="525B306B">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同顺序将应支付的(a)“支付代理机构”的报酬；(b)“受托人”的报酬、(c)“资金保管机构”的报酬；(d)“评级机构”提供跟踪评级服务的报酬；(e)“审计师”的报酬；(f)“后备贷款服务机构”（如有）的报酬；(g)“受托人”因“清仓回购”而聘请</w:t>
      </w:r>
      <w:r>
        <w:rPr>
          <w:rFonts w:hint="eastAsia" w:eastAsia="楷体_GB2312"/>
          <w:color w:val="000000"/>
          <w:sz w:val="24"/>
        </w:rPr>
        <w:t>第三方专业机构</w:t>
      </w:r>
      <w:r>
        <w:rPr>
          <w:rFonts w:eastAsia="楷体_GB2312"/>
          <w:color w:val="000000"/>
          <w:sz w:val="24"/>
        </w:rPr>
        <w:t>对剩余“资产池”进行评估所发生的费用；(h)上述相关主体和“贷款服务机构”各自可报销的不超过“优先支出上限”的“费用支出”；(i)“受托人”按照本合同的约定以固有财产垫付的代为发送“权利完善通知”所发生的费用（如有）的总额记入“信托分配（费用和开支）账户”；</w:t>
      </w:r>
    </w:p>
    <w:p w14:paraId="0F5D4C1F">
      <w:pPr>
        <w:numPr>
          <w:ilvl w:val="0"/>
          <w:numId w:val="24"/>
        </w:numPr>
        <w:tabs>
          <w:tab w:val="left" w:pos="1560"/>
        </w:tabs>
        <w:spacing w:line="360" w:lineRule="auto"/>
        <w:ind w:left="1558" w:leftChars="473" w:hanging="565"/>
        <w:rPr>
          <w:rFonts w:eastAsia="楷体_GB2312"/>
          <w:b/>
          <w:bCs/>
          <w:color w:val="FF0000"/>
          <w:sz w:val="24"/>
        </w:rPr>
      </w:pPr>
      <w:r>
        <w:rPr>
          <w:rFonts w:eastAsia="楷体_GB2312"/>
          <w:sz w:val="24"/>
        </w:rPr>
        <w:t>将应支付的“贷款服务机构”垫付的且未受偿的“处置费用”记入【“信托分配（费用和开支）账户”/“处置费用账户”】；</w:t>
      </w:r>
      <w:r>
        <w:rPr>
          <w:rFonts w:eastAsia="楷体_GB2312"/>
          <w:b/>
          <w:bCs/>
          <w:i/>
          <w:iCs/>
          <w:color w:val="FF0000"/>
          <w:sz w:val="24"/>
        </w:rPr>
        <w:t>【注：适用于处置费用未在先扣除的项目】</w:t>
      </w:r>
    </w:p>
    <w:p w14:paraId="093DED2C">
      <w:pPr>
        <w:numPr>
          <w:ilvl w:val="0"/>
          <w:numId w:val="24"/>
        </w:numPr>
        <w:tabs>
          <w:tab w:val="left" w:pos="1560"/>
        </w:tabs>
        <w:spacing w:line="360" w:lineRule="auto"/>
        <w:ind w:left="1558" w:leftChars="473" w:hanging="565"/>
        <w:rPr>
          <w:rFonts w:eastAsia="楷体_GB2312"/>
          <w:color w:val="000000"/>
          <w:sz w:val="24"/>
        </w:rPr>
      </w:pPr>
      <w:bookmarkStart w:id="473" w:name="_Ref488380201"/>
      <w:bookmarkStart w:id="474" w:name="_Ref120800250"/>
      <w:r>
        <w:rPr>
          <w:rFonts w:eastAsia="楷体_GB2312"/>
          <w:color w:val="000000"/>
          <w:sz w:val="24"/>
        </w:rPr>
        <w:t>将下一个“支付日”应支付的“优先级资产支持证券”的利息金额记入“信托分配（证券）账户”；</w:t>
      </w:r>
      <w:bookmarkEnd w:id="473"/>
      <w:bookmarkEnd w:id="474"/>
    </w:p>
    <w:p w14:paraId="27C07565">
      <w:pPr>
        <w:numPr>
          <w:ilvl w:val="0"/>
          <w:numId w:val="24"/>
        </w:numPr>
        <w:tabs>
          <w:tab w:val="left" w:pos="1560"/>
        </w:tabs>
        <w:spacing w:line="360" w:lineRule="auto"/>
        <w:ind w:left="1558" w:leftChars="473" w:hanging="565"/>
        <w:rPr>
          <w:rFonts w:eastAsia="楷体_GB2312"/>
          <w:color w:val="000000"/>
        </w:rPr>
      </w:pPr>
      <w:r>
        <w:rPr>
          <w:rFonts w:eastAsia="楷体_GB2312"/>
          <w:color w:val="000000"/>
          <w:sz w:val="24"/>
        </w:rPr>
        <w:t>将相应金额记入“信托（流动性）储备账户”，使该账户的余额不少于“必备流动性储备金额”；</w:t>
      </w:r>
    </w:p>
    <w:p w14:paraId="1D647750">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同顺序将应支付“受托人”、“贷款服务机构”、“资金保管机构”、“评级机构”（如有）、“审计师”（如有）、“受托人”于“信托”设立后聘请的评估公司（如有）以及“后备贷款服务机构”（如有）的超过“优先支出上限”的各自可报销的实际“费用支出”总额记入“信托分配（费用和开支）账户”；</w:t>
      </w:r>
    </w:p>
    <w:p w14:paraId="324206D0">
      <w:pPr>
        <w:numPr>
          <w:ilvl w:val="0"/>
          <w:numId w:val="24"/>
        </w:numPr>
        <w:tabs>
          <w:tab w:val="left" w:pos="1560"/>
        </w:tabs>
        <w:spacing w:line="360" w:lineRule="auto"/>
        <w:ind w:left="1558" w:leftChars="473" w:hanging="565"/>
        <w:rPr>
          <w:rFonts w:eastAsia="楷体_GB2312"/>
          <w:color w:val="000000"/>
          <w:sz w:val="24"/>
        </w:rPr>
      </w:pPr>
      <w:bookmarkStart w:id="475" w:name="_Ref150892631"/>
      <w:r>
        <w:rPr>
          <w:rFonts w:eastAsia="楷体_GB2312"/>
          <w:color w:val="000000"/>
          <w:sz w:val="24"/>
        </w:rPr>
        <w:t>记入“信托分配（证券）账户”一定金额，直至所有“优先级资产支持证券”的“未偿本金余额”全部得以清偿；</w:t>
      </w:r>
    </w:p>
    <w:bookmarkEnd w:id="475"/>
    <w:p w14:paraId="2A0C2FBB">
      <w:pPr>
        <w:numPr>
          <w:ilvl w:val="0"/>
          <w:numId w:val="24"/>
        </w:numPr>
        <w:tabs>
          <w:tab w:val="left" w:pos="1560"/>
        </w:tabs>
        <w:spacing w:line="360" w:lineRule="auto"/>
        <w:ind w:left="1558" w:leftChars="473" w:hanging="565"/>
        <w:rPr>
          <w:rFonts w:eastAsia="楷体_GB2312"/>
          <w:color w:val="000000"/>
          <w:sz w:val="24"/>
        </w:rPr>
      </w:pPr>
      <w:bookmarkStart w:id="476" w:name="_Ref446594904"/>
      <w:r>
        <w:rPr>
          <w:rFonts w:eastAsia="楷体_GB2312"/>
          <w:color w:val="000000"/>
          <w:sz w:val="24"/>
        </w:rPr>
        <w:t>计提当期应收取的“贷款服务机构”的“基本服务费”至“信托分配（费用和开支）账户”/将“贷款服务机构”的“基本服务费”转入“信托分配（费用和开支）账户”；</w:t>
      </w:r>
    </w:p>
    <w:p w14:paraId="308FEE6E">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转入“信托分配（证券）账户”一定金额，直至所有“次级资产支持证券”的“未偿本金余额”全部得以清偿；</w:t>
      </w:r>
      <w:bookmarkEnd w:id="476"/>
    </w:p>
    <w:p w14:paraId="1CBAAF1B">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转入“信托分配（证券）账户”一定金额，直至所有“次级资产支持证券固定资金成本”向“次级资产支持证券持有人”全部清偿完毕；</w:t>
      </w:r>
    </w:p>
    <w:p w14:paraId="40DC5AAD">
      <w:pPr>
        <w:numPr>
          <w:ilvl w:val="0"/>
          <w:numId w:val="24"/>
        </w:numPr>
        <w:tabs>
          <w:tab w:val="left" w:pos="1560"/>
        </w:tabs>
        <w:spacing w:line="360" w:lineRule="auto"/>
        <w:ind w:left="1558" w:leftChars="473" w:hanging="565"/>
        <w:rPr>
          <w:rFonts w:eastAsia="楷体_GB2312"/>
          <w:color w:val="000000"/>
          <w:sz w:val="24"/>
        </w:rPr>
      </w:pPr>
      <w:r>
        <w:rPr>
          <w:rFonts w:eastAsia="楷体_GB2312"/>
          <w:color w:val="000000"/>
          <w:sz w:val="24"/>
        </w:rPr>
        <w:t>在“次级资产支持证券固定资金成本”偿还完毕后，</w:t>
      </w:r>
      <w:r>
        <w:rPr>
          <w:rFonts w:eastAsia="楷体_GB2312"/>
          <w:sz w:val="24"/>
        </w:rPr>
        <w:t>计提当期应收取的</w:t>
      </w:r>
      <w:r>
        <w:rPr>
          <w:rFonts w:eastAsia="楷体_GB2312"/>
          <w:color w:val="000000"/>
          <w:sz w:val="24"/>
        </w:rPr>
        <w:t>“贷款服务机构”</w:t>
      </w:r>
      <w:r>
        <w:rPr>
          <w:rFonts w:eastAsia="楷体_GB2312"/>
          <w:sz w:val="24"/>
        </w:rPr>
        <w:t>的</w:t>
      </w:r>
      <w:r>
        <w:rPr>
          <w:rFonts w:eastAsia="楷体_GB2312"/>
          <w:color w:val="000000"/>
          <w:sz w:val="24"/>
        </w:rPr>
        <w:t>“超额奖励服务费”（如有）至“信托分配（费用和开支）账户”；</w:t>
      </w:r>
    </w:p>
    <w:p w14:paraId="608F7DB5">
      <w:pPr>
        <w:numPr>
          <w:ilvl w:val="0"/>
          <w:numId w:val="24"/>
        </w:numPr>
        <w:tabs>
          <w:tab w:val="left" w:pos="1560"/>
        </w:tabs>
        <w:spacing w:line="360" w:lineRule="auto"/>
        <w:ind w:left="1558" w:leftChars="473" w:hanging="565"/>
        <w:rPr>
          <w:rFonts w:eastAsia="楷体_GB2312"/>
          <w:color w:val="000000"/>
        </w:rPr>
      </w:pPr>
      <w:r>
        <w:rPr>
          <w:rFonts w:eastAsia="楷体_GB2312"/>
          <w:color w:val="000000"/>
          <w:sz w:val="24"/>
        </w:rPr>
        <w:t>最后，将所有余额作为“次级资产支持证券”的收益，转入“信托分配（证券）账户”。</w:t>
      </w:r>
      <w:bookmarkEnd w:id="472"/>
      <w:bookmarkStart w:id="477" w:name="OLE_LINK85E"/>
      <w:bookmarkEnd w:id="477"/>
      <w:bookmarkStart w:id="478" w:name="OLE_LINK836"/>
      <w:bookmarkEnd w:id="478"/>
    </w:p>
    <w:p w14:paraId="7BD660F1">
      <w:pPr>
        <w:numPr>
          <w:ilvl w:val="1"/>
          <w:numId w:val="7"/>
        </w:numPr>
        <w:spacing w:line="360" w:lineRule="auto"/>
        <w:rPr>
          <w:rFonts w:eastAsia="楷体_GB2312"/>
          <w:b/>
          <w:color w:val="000000"/>
          <w:sz w:val="24"/>
        </w:rPr>
      </w:pPr>
      <w:bookmarkStart w:id="479" w:name="_Ref173768326"/>
      <w:bookmarkStart w:id="480" w:name="_Toc201569422"/>
      <w:bookmarkStart w:id="481" w:name="_Ref180850304"/>
      <w:r>
        <w:rPr>
          <w:rFonts w:eastAsia="楷体_GB2312"/>
          <w:b/>
          <w:color w:val="000000"/>
          <w:sz w:val="24"/>
        </w:rPr>
        <w:t>违约事件发生后</w:t>
      </w:r>
      <w:bookmarkEnd w:id="479"/>
      <w:r>
        <w:rPr>
          <w:rFonts w:eastAsia="楷体_GB2312"/>
          <w:b/>
          <w:color w:val="000000"/>
          <w:sz w:val="24"/>
        </w:rPr>
        <w:t>信托收款账户的分配</w:t>
      </w:r>
      <w:bookmarkEnd w:id="480"/>
      <w:bookmarkEnd w:id="481"/>
    </w:p>
    <w:p w14:paraId="6A51F5BC">
      <w:pPr>
        <w:spacing w:line="360" w:lineRule="auto"/>
        <w:ind w:left="993"/>
        <w:rPr>
          <w:rFonts w:eastAsia="楷体_GB2312"/>
          <w:b/>
          <w:color w:val="FF0000"/>
          <w:sz w:val="24"/>
        </w:rPr>
      </w:pPr>
      <w:r>
        <w:rPr>
          <w:rFonts w:eastAsia="楷体_GB2312"/>
          <w:b/>
          <w:bCs/>
          <w:i/>
          <w:iCs/>
          <w:color w:val="FF0000"/>
          <w:sz w:val="24"/>
        </w:rPr>
        <w:t>【注：具体项目的现金流分配顺序待根据实际情况调整。】</w:t>
      </w:r>
    </w:p>
    <w:p w14:paraId="654D149F">
      <w:pPr>
        <w:spacing w:line="360" w:lineRule="auto"/>
        <w:ind w:left="992"/>
        <w:rPr>
          <w:rFonts w:eastAsia="楷体_GB2312"/>
          <w:color w:val="000000"/>
          <w:sz w:val="24"/>
        </w:rPr>
      </w:pPr>
      <w:r>
        <w:rPr>
          <w:rFonts w:eastAsia="楷体_GB2312"/>
          <w:color w:val="000000"/>
          <w:sz w:val="24"/>
        </w:rPr>
        <w:t>在“违约事件”发生后，“受托人”应于每一个“信托分配日”向“资金保管机构”发出“分配指令”，指令“资金保管机构”将“信托收款账户”中的账户余额以及于该“信托分配日”按照本合同第</w:t>
      </w:r>
      <w:r>
        <w:rPr>
          <w:rFonts w:eastAsia="楷体_GB2312"/>
          <w:color w:val="000000"/>
          <w:sz w:val="24"/>
        </w:rPr>
        <w:fldChar w:fldCharType="begin"/>
      </w:r>
      <w:r>
        <w:rPr>
          <w:rFonts w:eastAsia="楷体_GB2312"/>
          <w:color w:val="000000"/>
          <w:sz w:val="24"/>
        </w:rPr>
        <w:instrText xml:space="preserve"> REF _Ref520475419 \r \h  \* MERGEFORMAT </w:instrText>
      </w:r>
      <w:r>
        <w:rPr>
          <w:rFonts w:eastAsia="楷体_GB2312"/>
          <w:color w:val="000000"/>
          <w:sz w:val="24"/>
        </w:rPr>
        <w:fldChar w:fldCharType="separate"/>
      </w:r>
      <w:r>
        <w:rPr>
          <w:rFonts w:eastAsia="楷体_GB2312"/>
          <w:color w:val="000000"/>
          <w:sz w:val="24"/>
        </w:rPr>
        <w:t>11.6</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_Ref520400643 \r \h  \* MERGEFORMAT </w:instrText>
      </w:r>
      <w:r>
        <w:rPr>
          <w:rFonts w:eastAsia="楷体_GB2312"/>
          <w:color w:val="000000"/>
          <w:sz w:val="24"/>
        </w:rPr>
        <w:fldChar w:fldCharType="separate"/>
      </w:r>
      <w:r>
        <w:rPr>
          <w:rFonts w:eastAsia="楷体_GB2312"/>
          <w:color w:val="000000"/>
          <w:sz w:val="24"/>
        </w:rPr>
        <w:t>11.7</w:t>
      </w:r>
      <w:r>
        <w:rPr>
          <w:rFonts w:eastAsia="楷体_GB2312"/>
          <w:color w:val="000000"/>
          <w:sz w:val="24"/>
        </w:rPr>
        <w:fldChar w:fldCharType="end"/>
      </w:r>
      <w:r>
        <w:rPr>
          <w:rFonts w:eastAsia="楷体_GB2312"/>
          <w:color w:val="000000"/>
          <w:sz w:val="24"/>
        </w:rPr>
        <w:t>款的约定从相应账户转入“信托收款账户”的总金额按以下顺序进行分配（如不足以分配，同顺序的各项应受偿金额按比例分配，且所差金额应按以下顺序在下一期分配）：</w:t>
      </w:r>
      <w:bookmarkStart w:id="482" w:name="OLE_LINK871"/>
      <w:bookmarkEnd w:id="482"/>
      <w:bookmarkStart w:id="483" w:name="OLE_LINK87"/>
      <w:bookmarkEnd w:id="483"/>
      <w:bookmarkStart w:id="484" w:name="OLE_LINK872"/>
      <w:bookmarkEnd w:id="484"/>
      <w:bookmarkStart w:id="485" w:name="OLE_LINK8731"/>
      <w:bookmarkEnd w:id="485"/>
    </w:p>
    <w:p w14:paraId="591D041B">
      <w:pPr>
        <w:pStyle w:val="142"/>
        <w:widowControl w:val="0"/>
        <w:numPr>
          <w:ilvl w:val="0"/>
          <w:numId w:val="25"/>
        </w:numPr>
        <w:spacing w:line="360" w:lineRule="auto"/>
        <w:ind w:left="1418" w:hanging="425" w:firstLineChars="0"/>
        <w:jc w:val="both"/>
        <w:rPr>
          <w:rFonts w:eastAsia="楷体_GB2312"/>
          <w:color w:val="000000"/>
        </w:rPr>
      </w:pPr>
      <w:bookmarkStart w:id="486" w:name="_Ref150893330"/>
      <w:r>
        <w:rPr>
          <w:rFonts w:eastAsia="楷体_GB2312"/>
          <w:color w:val="000000"/>
          <w:lang w:eastAsia="zh-CN"/>
        </w:rPr>
        <w:t>将依据相关</w:t>
      </w:r>
      <w:r>
        <w:rPr>
          <w:rFonts w:eastAsia="楷体_GB2312"/>
          <w:bCs/>
          <w:color w:val="000000"/>
        </w:rPr>
        <w:t>“</w:t>
      </w:r>
      <w:r>
        <w:rPr>
          <w:rFonts w:eastAsia="楷体_GB2312"/>
          <w:color w:val="000000"/>
          <w:lang w:eastAsia="zh-CN"/>
        </w:rPr>
        <w:t>中国”“法律”应由“受托人”缴纳的与“信托”相关的“税费”记入“信托分配（税收）账户”；</w:t>
      </w:r>
      <w:bookmarkEnd w:id="486"/>
    </w:p>
    <w:p w14:paraId="493372AC">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同顺序将应支付但尚未支付的各项“发行费用”（包括“受托机构”垫付的该等费用（如有））的总额记入“信托分配（费用和开支）账户”；</w:t>
      </w:r>
    </w:p>
    <w:p w14:paraId="55C31BC8">
      <w:pPr>
        <w:pStyle w:val="142"/>
        <w:widowControl w:val="0"/>
        <w:numPr>
          <w:ilvl w:val="0"/>
          <w:numId w:val="25"/>
        </w:numPr>
        <w:spacing w:line="360" w:lineRule="auto"/>
        <w:ind w:left="1418" w:hanging="425" w:firstLineChars="0"/>
        <w:jc w:val="both"/>
        <w:rPr>
          <w:rFonts w:eastAsia="楷体_GB2312"/>
          <w:color w:val="000000"/>
          <w:lang w:eastAsia="zh-CN"/>
        </w:rPr>
      </w:pPr>
      <w:r>
        <w:rPr>
          <w:rFonts w:eastAsia="楷体_GB2312"/>
          <w:color w:val="000000"/>
          <w:lang w:eastAsia="zh-CN"/>
        </w:rPr>
        <w:t>同顺序将应支付未付（包括以往各期未付金额）的(a)“支付代理机构”的报酬；(b)“受托人”的报酬、(c)“资金保管机构”的报酬；(d)“评级机构”提供跟踪评级服务的报酬；(e)“审计师”的报酬；(f)“后备贷款服务机构”（如有）的报酬；(g)“受托人”因“清仓回购”而聘请</w:t>
      </w:r>
      <w:r>
        <w:rPr>
          <w:rFonts w:hint="eastAsia" w:eastAsia="楷体_GB2312"/>
          <w:color w:val="000000"/>
        </w:rPr>
        <w:t>第三方专业机构</w:t>
      </w:r>
      <w:r>
        <w:rPr>
          <w:rFonts w:eastAsia="楷体_GB2312"/>
          <w:color w:val="000000"/>
          <w:lang w:eastAsia="zh-CN"/>
        </w:rPr>
        <w:t>对剩余“资产池”进行评估所发生的费用；(h)上述相关主体和“贷款服务机构”各自可报销的实际“费用支出”；(i)“受托人”按照本合同的约定以固有财产垫付的代为发送“权利完善通知”所发生的费用（如有）的总额记入“信托分配（费用和开支）账户”；</w:t>
      </w:r>
    </w:p>
    <w:p w14:paraId="390DA5B1">
      <w:pPr>
        <w:pStyle w:val="142"/>
        <w:widowControl w:val="0"/>
        <w:numPr>
          <w:ilvl w:val="0"/>
          <w:numId w:val="25"/>
        </w:numPr>
        <w:spacing w:line="360" w:lineRule="auto"/>
        <w:ind w:left="1418" w:hanging="425" w:firstLineChars="0"/>
        <w:jc w:val="both"/>
        <w:rPr>
          <w:rFonts w:eastAsia="楷体_GB2312"/>
          <w:b/>
          <w:bCs/>
          <w:color w:val="FF0000"/>
          <w:lang w:eastAsia="zh-CN"/>
        </w:rPr>
      </w:pPr>
      <w:r>
        <w:rPr>
          <w:rFonts w:eastAsia="楷体_GB2312"/>
          <w:color w:val="000000"/>
          <w:lang w:eastAsia="zh-CN"/>
        </w:rPr>
        <w:t>将应支付的“贷款服务机构”垫付的且未受偿的“处置费用”记入【“信托分配（费用和开支）账户”/“处置费用账户”】；</w:t>
      </w:r>
      <w:r>
        <w:rPr>
          <w:rFonts w:eastAsia="楷体_GB2312"/>
          <w:b/>
          <w:bCs/>
          <w:i/>
          <w:iCs/>
          <w:color w:val="FF0000"/>
        </w:rPr>
        <w:t>【注：适用于处置费用未在先扣除的项目】</w:t>
      </w:r>
    </w:p>
    <w:p w14:paraId="5B9A4F91">
      <w:pPr>
        <w:pStyle w:val="142"/>
        <w:widowControl w:val="0"/>
        <w:numPr>
          <w:ilvl w:val="0"/>
          <w:numId w:val="25"/>
        </w:numPr>
        <w:spacing w:line="360" w:lineRule="auto"/>
        <w:ind w:left="1418" w:hanging="425" w:firstLineChars="0"/>
        <w:jc w:val="both"/>
      </w:pPr>
      <w:bookmarkStart w:id="487" w:name="_Ref120800290"/>
      <w:bookmarkStart w:id="488" w:name="_Ref488380226"/>
      <w:r>
        <w:rPr>
          <w:rFonts w:eastAsia="楷体_GB2312"/>
          <w:color w:val="000000"/>
          <w:lang w:eastAsia="zh-CN"/>
        </w:rPr>
        <w:t>将下一个“支付日”应付未付的“优先级资产支持证券”的利息金额记入“信托分配（证券）账户”；</w:t>
      </w:r>
      <w:bookmarkEnd w:id="487"/>
      <w:bookmarkEnd w:id="488"/>
    </w:p>
    <w:p w14:paraId="49EB4677">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记入“信托分配（证券）账户”一定金额，用以偿还“优先级资产支持证券”的本金，直至所有“优先级资产支持证券”的“未偿本金余额”为零；</w:t>
      </w:r>
    </w:p>
    <w:p w14:paraId="61FB266F">
      <w:pPr>
        <w:pStyle w:val="142"/>
        <w:widowControl w:val="0"/>
        <w:numPr>
          <w:ilvl w:val="0"/>
          <w:numId w:val="25"/>
        </w:numPr>
        <w:spacing w:line="360" w:lineRule="auto"/>
        <w:ind w:left="1418" w:hanging="425" w:firstLineChars="0"/>
        <w:jc w:val="both"/>
      </w:pPr>
      <w:r>
        <w:rPr>
          <w:rFonts w:eastAsia="楷体_GB2312"/>
          <w:color w:val="000000"/>
          <w:lang w:eastAsia="zh-CN"/>
        </w:rPr>
        <w:t>计提累计应付未付的“贷款服务机构”的“基本服务费”至“信托分配（费用和开支）账户”/将应付给“贷款服务机构”的“基本服务费”总额（包括以往各期未付金额）记入“信托分配（费用和开支）账户”；</w:t>
      </w:r>
    </w:p>
    <w:p w14:paraId="7AFE5D0B">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转入“信托分配（证券）账户”一定金额，直至所有“次级资产支持证券”的“未偿本金余额”全部得以清偿；</w:t>
      </w:r>
    </w:p>
    <w:p w14:paraId="0B445E58">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转入“信托分配（证券）账户”一定金额，直至所有“次级资产支持证券固定资金成本”向“次级资产支持证券持有人”全部清偿完毕；</w:t>
      </w:r>
    </w:p>
    <w:p w14:paraId="58E40672">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在“次级资产支持证券固定资金成本”偿还完毕后，计提当期应收取的“贷款服务机构”的“超额奖励服务费”金额（如有）至“信托分配（费用和开支）账户”；</w:t>
      </w:r>
    </w:p>
    <w:p w14:paraId="3ED83142">
      <w:pPr>
        <w:pStyle w:val="142"/>
        <w:widowControl w:val="0"/>
        <w:numPr>
          <w:ilvl w:val="0"/>
          <w:numId w:val="25"/>
        </w:numPr>
        <w:spacing w:line="360" w:lineRule="auto"/>
        <w:ind w:left="1418" w:hanging="425" w:firstLineChars="0"/>
        <w:jc w:val="both"/>
        <w:rPr>
          <w:rFonts w:eastAsia="楷体_GB2312"/>
          <w:color w:val="000000"/>
        </w:rPr>
      </w:pPr>
      <w:r>
        <w:rPr>
          <w:rFonts w:eastAsia="楷体_GB2312"/>
          <w:color w:val="000000"/>
          <w:lang w:eastAsia="zh-CN"/>
        </w:rPr>
        <w:t>最后，将所有余额作为“次级资产支持证券”的收益，转入“信托分配（证券）账户”。</w:t>
      </w:r>
      <w:bookmarkStart w:id="489" w:name="_Ref201654968"/>
      <w:bookmarkStart w:id="490" w:name="_Ref350866176"/>
    </w:p>
    <w:p w14:paraId="06E695C2">
      <w:pPr>
        <w:numPr>
          <w:ilvl w:val="1"/>
          <w:numId w:val="7"/>
        </w:numPr>
        <w:spacing w:line="360" w:lineRule="auto"/>
        <w:rPr>
          <w:rFonts w:eastAsia="楷体_GB2312"/>
          <w:b/>
          <w:color w:val="000000"/>
          <w:sz w:val="24"/>
        </w:rPr>
      </w:pPr>
      <w:bookmarkStart w:id="491" w:name="_Ref520391584"/>
      <w:bookmarkStart w:id="492" w:name="_Hlk520398357"/>
      <w:r>
        <w:rPr>
          <w:rFonts w:eastAsia="楷体_GB2312"/>
          <w:b/>
          <w:color w:val="000000"/>
          <w:sz w:val="24"/>
        </w:rPr>
        <w:t>信托终止后信托财产的分配</w:t>
      </w:r>
      <w:bookmarkEnd w:id="489"/>
      <w:bookmarkEnd w:id="490"/>
      <w:bookmarkEnd w:id="491"/>
      <w:bookmarkEnd w:id="492"/>
    </w:p>
    <w:p w14:paraId="570BF2B7">
      <w:pPr>
        <w:tabs>
          <w:tab w:val="left" w:pos="1800"/>
          <w:tab w:val="left" w:pos="1980"/>
        </w:tabs>
        <w:spacing w:line="360" w:lineRule="auto"/>
        <w:ind w:left="992"/>
        <w:rPr>
          <w:rFonts w:eastAsia="楷体_GB2312"/>
          <w:b/>
          <w:color w:val="000000"/>
          <w:sz w:val="24"/>
        </w:rPr>
      </w:pPr>
      <w:r>
        <w:rPr>
          <w:rFonts w:eastAsia="楷体_GB2312"/>
          <w:b/>
          <w:bCs/>
          <w:i/>
          <w:iCs/>
          <w:color w:val="FF0000"/>
          <w:sz w:val="24"/>
        </w:rPr>
        <w:t>【注：1、具体项目的现金流分配顺序待根据实际情况调整。2、根据具体项目情况确定是否从“处置收入”中先扣除“处置费用”、“过渡期”内“委托人”先行缴纳的“资产池”相关“税费”（如有）及其他费用、是否包含过渡期处置收入产生的利息。】</w:t>
      </w:r>
    </w:p>
    <w:p w14:paraId="006B3C03">
      <w:pPr>
        <w:spacing w:line="360" w:lineRule="auto"/>
        <w:ind w:left="992"/>
        <w:rPr>
          <w:rFonts w:eastAsia="楷体_GB2312"/>
          <w:color w:val="000000"/>
          <w:sz w:val="24"/>
        </w:rPr>
      </w:pPr>
      <w:r>
        <w:rPr>
          <w:rFonts w:eastAsia="楷体_GB2312"/>
          <w:color w:val="000000"/>
          <w:sz w:val="24"/>
        </w:rPr>
        <w:t>在“信托终止日”后，“受托人”应将清算所得的“处置收入”（扣除【相应“处置费用”</w:t>
      </w:r>
      <w:r>
        <w:rPr>
          <w:rFonts w:eastAsia="楷体_GB2312"/>
          <w:color w:val="000000"/>
          <w:w w:val="0"/>
          <w:sz w:val="24"/>
        </w:rPr>
        <w:t>和“过渡期”内“委托人”先行缴纳的“资产池”相关“税费”（如有），且不含“处置收入”在“过渡期”内产生的利息）】</w:t>
      </w:r>
      <w:r>
        <w:rPr>
          <w:rFonts w:eastAsia="楷体_GB2312"/>
          <w:color w:val="000000"/>
          <w:sz w:val="24"/>
        </w:rPr>
        <w:t>）、“信托账户”内的其他资金及其他“信托财产”按以下顺序进行分配（如不足以分配，同顺序的各项应受偿金额按比例分配）：</w:t>
      </w:r>
      <w:bookmarkStart w:id="493" w:name="_Ref488380242"/>
    </w:p>
    <w:p w14:paraId="2CE9F74A">
      <w:pPr>
        <w:pStyle w:val="142"/>
        <w:widowControl w:val="0"/>
        <w:numPr>
          <w:ilvl w:val="0"/>
          <w:numId w:val="26"/>
        </w:numPr>
        <w:spacing w:line="360" w:lineRule="auto"/>
        <w:ind w:left="1418" w:hanging="425" w:firstLineChars="0"/>
        <w:jc w:val="both"/>
        <w:rPr>
          <w:rFonts w:eastAsia="楷体_GB2312"/>
          <w:color w:val="000000"/>
        </w:rPr>
      </w:pPr>
      <w:bookmarkStart w:id="494" w:name="_Ref489474046"/>
      <w:r>
        <w:rPr>
          <w:rFonts w:eastAsia="楷体_GB2312"/>
          <w:color w:val="000000"/>
          <w:lang w:eastAsia="zh-CN"/>
        </w:rPr>
        <w:t>将依据相关</w:t>
      </w:r>
      <w:r>
        <w:rPr>
          <w:rFonts w:eastAsia="楷体_GB2312"/>
          <w:bCs/>
          <w:color w:val="000000"/>
        </w:rPr>
        <w:t>“</w:t>
      </w:r>
      <w:r>
        <w:rPr>
          <w:rFonts w:eastAsia="楷体_GB2312"/>
          <w:color w:val="000000"/>
          <w:lang w:eastAsia="zh-CN"/>
        </w:rPr>
        <w:t>中国”“法律”应由“受托人”缴纳的与“信托”相关的“税费”记入“信托分配（税收）账户”；</w:t>
      </w:r>
      <w:bookmarkEnd w:id="493"/>
      <w:bookmarkEnd w:id="494"/>
    </w:p>
    <w:p w14:paraId="26C08E34">
      <w:pPr>
        <w:pStyle w:val="142"/>
        <w:widowControl w:val="0"/>
        <w:numPr>
          <w:ilvl w:val="0"/>
          <w:numId w:val="26"/>
        </w:numPr>
        <w:spacing w:line="360" w:lineRule="auto"/>
        <w:ind w:left="1418" w:hanging="425" w:firstLineChars="0"/>
        <w:jc w:val="both"/>
        <w:rPr>
          <w:rFonts w:eastAsia="楷体_GB2312"/>
          <w:color w:val="000000"/>
        </w:rPr>
      </w:pPr>
      <w:r>
        <w:rPr>
          <w:rFonts w:eastAsia="楷体_GB2312"/>
          <w:color w:val="000000"/>
          <w:lang w:eastAsia="zh-CN"/>
        </w:rPr>
        <w:t>同顺序将应支付但尚未支付的各项“发行费用”（包括“</w:t>
      </w:r>
      <w:r>
        <w:rPr>
          <w:rFonts w:eastAsia="楷体_GB2312"/>
          <w:lang w:eastAsia="zh-CN"/>
        </w:rPr>
        <w:t>受托机构</w:t>
      </w:r>
      <w:r>
        <w:rPr>
          <w:rFonts w:eastAsia="楷体_GB2312"/>
          <w:color w:val="000000"/>
          <w:lang w:eastAsia="zh-CN"/>
        </w:rPr>
        <w:t>”垫付的该等费用（如有））的总额记入“信托分配（费用和开支）账户”；</w:t>
      </w:r>
    </w:p>
    <w:p w14:paraId="441C2856">
      <w:pPr>
        <w:pStyle w:val="142"/>
        <w:widowControl w:val="0"/>
        <w:numPr>
          <w:ilvl w:val="0"/>
          <w:numId w:val="26"/>
        </w:numPr>
        <w:spacing w:line="360" w:lineRule="auto"/>
        <w:ind w:left="1418" w:hanging="425" w:firstLineChars="0"/>
        <w:jc w:val="both"/>
        <w:rPr>
          <w:rFonts w:eastAsia="楷体_GB2312"/>
          <w:color w:val="000000"/>
          <w:lang w:eastAsia="zh-CN"/>
        </w:rPr>
      </w:pPr>
      <w:r>
        <w:rPr>
          <w:rFonts w:eastAsia="楷体_GB2312"/>
          <w:color w:val="000000"/>
          <w:lang w:eastAsia="zh-CN"/>
        </w:rPr>
        <w:t>将根据“交易文件”清算“信托财产”所产生的费用（【不包括/包括】“处置费用”）记入【“信托分配（费用和开支）账户”/</w:t>
      </w:r>
      <w:r>
        <w:rPr>
          <w:rFonts w:eastAsia="楷体_GB2312"/>
          <w:color w:val="000000"/>
          <w:kern w:val="2"/>
          <w:lang w:eastAsia="zh-CN"/>
        </w:rPr>
        <w:t>“处置费用账户”】</w:t>
      </w:r>
      <w:r>
        <w:rPr>
          <w:rFonts w:eastAsia="楷体_GB2312"/>
          <w:color w:val="000000"/>
          <w:lang w:eastAsia="zh-CN"/>
        </w:rPr>
        <w:t>；</w:t>
      </w:r>
    </w:p>
    <w:p w14:paraId="0744395C">
      <w:pPr>
        <w:pStyle w:val="142"/>
        <w:widowControl w:val="0"/>
        <w:numPr>
          <w:ilvl w:val="0"/>
          <w:numId w:val="26"/>
        </w:numPr>
        <w:spacing w:line="360" w:lineRule="auto"/>
        <w:ind w:left="1418" w:hanging="425" w:firstLineChars="0"/>
        <w:jc w:val="both"/>
        <w:rPr>
          <w:rFonts w:eastAsia="楷体_GB2312"/>
          <w:color w:val="000000"/>
        </w:rPr>
      </w:pPr>
      <w:bookmarkStart w:id="495" w:name="_Ref47850181"/>
      <w:r>
        <w:rPr>
          <w:rFonts w:eastAsia="楷体_GB2312"/>
          <w:color w:val="000000"/>
          <w:lang w:eastAsia="zh-CN"/>
        </w:rPr>
        <w:t>同顺序将应支付未付（包括以往各期未付金额）的(a)“支付代理机构”的报酬；(b)“受托人”的报酬、(c)“资金保管机构”的报酬；(d)“评级机构”提供跟踪评级服务的报酬；(e)“审计师”的报酬；(f)“后备贷款服务机构”（如有）的报酬；(g)“受托人”因“清仓回购”而聘请</w:t>
      </w:r>
      <w:r>
        <w:rPr>
          <w:rFonts w:hint="eastAsia" w:eastAsia="楷体_GB2312"/>
          <w:color w:val="000000"/>
        </w:rPr>
        <w:t>第三方专业机构</w:t>
      </w:r>
      <w:r>
        <w:rPr>
          <w:rFonts w:eastAsia="楷体_GB2312"/>
          <w:color w:val="000000"/>
          <w:lang w:eastAsia="zh-CN"/>
        </w:rPr>
        <w:t>对剩余“资产池”进行评估所发生的费用；(h)上述相关主体和“贷款服务机构”各自可报销的实际“费用支出”；(i)“受托人”按照本合同的约定以固有财产垫付的代为发送“权利完善通知”所发生的费用（如有）的总额记入“信托分配（费用和开支）账户”；</w:t>
      </w:r>
      <w:bookmarkEnd w:id="495"/>
    </w:p>
    <w:p w14:paraId="5F592C93">
      <w:pPr>
        <w:pStyle w:val="142"/>
        <w:widowControl w:val="0"/>
        <w:numPr>
          <w:ilvl w:val="0"/>
          <w:numId w:val="26"/>
        </w:numPr>
        <w:spacing w:line="360" w:lineRule="auto"/>
        <w:ind w:left="1418" w:hanging="425" w:firstLineChars="0"/>
        <w:jc w:val="both"/>
      </w:pPr>
      <w:bookmarkStart w:id="496" w:name="_Ref488380247"/>
      <w:r>
        <w:rPr>
          <w:rFonts w:eastAsia="楷体_GB2312"/>
          <w:color w:val="000000"/>
          <w:lang w:eastAsia="zh-CN"/>
        </w:rPr>
        <w:t>将下一个“支付日”应付未付的“优先级资产支持证券”的利息金额记入“信托分配（证券）账户”；</w:t>
      </w:r>
      <w:bookmarkEnd w:id="496"/>
    </w:p>
    <w:p w14:paraId="7B0FFF68">
      <w:pPr>
        <w:pStyle w:val="142"/>
        <w:widowControl w:val="0"/>
        <w:numPr>
          <w:ilvl w:val="0"/>
          <w:numId w:val="26"/>
        </w:numPr>
        <w:spacing w:line="360" w:lineRule="auto"/>
        <w:ind w:left="1418" w:hanging="425" w:firstLineChars="0"/>
        <w:jc w:val="both"/>
        <w:rPr>
          <w:rFonts w:eastAsia="楷体_GB2312"/>
          <w:color w:val="000000"/>
        </w:rPr>
      </w:pPr>
      <w:r>
        <w:rPr>
          <w:rFonts w:eastAsia="楷体_GB2312"/>
          <w:lang w:eastAsia="zh-CN"/>
        </w:rPr>
        <w:t>记入“信托分配（证券）账户”一定金额，用以偿还“优先级资产支持证券”的本金，直至所有“优先级资产支持证券”的“未偿本金余额”为零；</w:t>
      </w:r>
    </w:p>
    <w:p w14:paraId="2FC62A39">
      <w:pPr>
        <w:pStyle w:val="142"/>
        <w:widowControl w:val="0"/>
        <w:numPr>
          <w:ilvl w:val="0"/>
          <w:numId w:val="26"/>
        </w:numPr>
        <w:spacing w:line="360" w:lineRule="auto"/>
        <w:ind w:left="1418" w:hanging="425" w:firstLineChars="0"/>
        <w:jc w:val="both"/>
        <w:rPr>
          <w:rFonts w:eastAsia="楷体_GB2312"/>
          <w:color w:val="000000"/>
        </w:rPr>
      </w:pPr>
      <w:bookmarkStart w:id="497" w:name="_Ref47850195"/>
      <w:r>
        <w:rPr>
          <w:rFonts w:eastAsia="楷体_GB2312"/>
          <w:color w:val="000000"/>
          <w:lang w:eastAsia="zh-CN"/>
        </w:rPr>
        <w:t>计提累计应付未付的“贷款服务机构”的“基本服务费”至“信托分配（费用和开支）账户”/将应付给“贷款服务机构”的“基本服务费”总额（包括以往各期未付金额）记入“信托分配（费用和开支）账户”；</w:t>
      </w:r>
      <w:bookmarkEnd w:id="497"/>
    </w:p>
    <w:p w14:paraId="604EA6D8">
      <w:pPr>
        <w:pStyle w:val="142"/>
        <w:widowControl w:val="0"/>
        <w:numPr>
          <w:ilvl w:val="0"/>
          <w:numId w:val="26"/>
        </w:numPr>
        <w:spacing w:line="360" w:lineRule="auto"/>
        <w:ind w:left="1418" w:hanging="425" w:firstLineChars="0"/>
        <w:jc w:val="both"/>
        <w:rPr>
          <w:rFonts w:eastAsia="楷体_GB2312"/>
        </w:rPr>
      </w:pPr>
      <w:bookmarkStart w:id="498" w:name="_Ref447013876"/>
      <w:bookmarkStart w:id="499" w:name="_Ref437875420"/>
      <w:r>
        <w:rPr>
          <w:rFonts w:eastAsia="楷体_GB2312"/>
          <w:lang w:eastAsia="zh-CN"/>
        </w:rPr>
        <w:t>如届时“贷款服务机构”同时为“次级资产</w:t>
      </w:r>
      <w:r>
        <w:rPr>
          <w:rFonts w:eastAsia="楷体_GB2312"/>
          <w:color w:val="000000"/>
          <w:lang w:eastAsia="zh-CN"/>
        </w:rPr>
        <w:t>支持</w:t>
      </w:r>
      <w:r>
        <w:rPr>
          <w:rFonts w:eastAsia="楷体_GB2312"/>
          <w:lang w:eastAsia="zh-CN"/>
        </w:rPr>
        <w:t>证券持有人”，则经“次级资产支持证券持有人”一致同意，“受托人”可以以剩余“信托财产”原状的方式向所有“次级资产支持证券持有人”、“贷款服务机构”进行分配，具体的分配方案应当经“次级资产支持证券持有人”书面一致同意方可进行；如“次级资产支持证券持有人”不能就分配方案达成书面的一致意见，则“受托人”应当按照本合同约定清算“非现金信托财产”，并将“处置收入”继续按以下顺序进行分配；</w:t>
      </w:r>
      <w:bookmarkEnd w:id="498"/>
    </w:p>
    <w:bookmarkEnd w:id="499"/>
    <w:p w14:paraId="44639A04">
      <w:pPr>
        <w:pStyle w:val="142"/>
        <w:widowControl w:val="0"/>
        <w:numPr>
          <w:ilvl w:val="0"/>
          <w:numId w:val="26"/>
        </w:numPr>
        <w:spacing w:line="360" w:lineRule="auto"/>
        <w:ind w:left="1418" w:hanging="425" w:firstLineChars="0"/>
        <w:jc w:val="both"/>
        <w:rPr>
          <w:rFonts w:eastAsia="楷体_GB2312"/>
        </w:rPr>
      </w:pPr>
      <w:r>
        <w:rPr>
          <w:rFonts w:eastAsia="楷体_GB2312"/>
          <w:lang w:eastAsia="zh-CN"/>
        </w:rPr>
        <w:t>转入“信托分配（证券）账户”一定金额，直至所有“次级资产支持证券”的“未偿本金余额”全部得以清偿；</w:t>
      </w:r>
    </w:p>
    <w:p w14:paraId="3C18545C">
      <w:pPr>
        <w:pStyle w:val="142"/>
        <w:widowControl w:val="0"/>
        <w:numPr>
          <w:ilvl w:val="0"/>
          <w:numId w:val="26"/>
        </w:numPr>
        <w:spacing w:line="360" w:lineRule="auto"/>
        <w:ind w:left="1418" w:hanging="425" w:firstLineChars="0"/>
        <w:jc w:val="both"/>
        <w:rPr>
          <w:rFonts w:eastAsia="楷体_GB2312"/>
          <w:color w:val="000000"/>
        </w:rPr>
      </w:pPr>
      <w:r>
        <w:rPr>
          <w:rFonts w:eastAsia="楷体_GB2312"/>
          <w:color w:val="000000"/>
          <w:lang w:eastAsia="zh-CN"/>
        </w:rPr>
        <w:t>转入“信托分配（证券）账户”一定金额，直至所有“次级资产支持证券固定资金成本”向“次级资产支持证券持有人”全部清偿完毕；</w:t>
      </w:r>
    </w:p>
    <w:p w14:paraId="0C691D26">
      <w:pPr>
        <w:pStyle w:val="142"/>
        <w:widowControl w:val="0"/>
        <w:numPr>
          <w:ilvl w:val="0"/>
          <w:numId w:val="26"/>
        </w:numPr>
        <w:spacing w:line="360" w:lineRule="auto"/>
        <w:ind w:left="1418" w:hanging="425" w:firstLineChars="0"/>
        <w:jc w:val="both"/>
        <w:rPr>
          <w:rFonts w:eastAsia="楷体_GB2312"/>
          <w:color w:val="000000"/>
        </w:rPr>
      </w:pPr>
      <w:r>
        <w:rPr>
          <w:rFonts w:eastAsia="楷体_GB2312"/>
          <w:color w:val="000000"/>
          <w:lang w:eastAsia="zh-CN"/>
        </w:rPr>
        <w:t>在“次级资产支持证券固定资金成本”偿还完毕后，计提当期应收取的“贷款服务机构”的“超额奖励服务费”金额（如有）至“信托分配（费用和开支）账户”；</w:t>
      </w:r>
    </w:p>
    <w:p w14:paraId="378FF879">
      <w:pPr>
        <w:pStyle w:val="142"/>
        <w:widowControl w:val="0"/>
        <w:numPr>
          <w:ilvl w:val="0"/>
          <w:numId w:val="26"/>
        </w:numPr>
        <w:spacing w:line="360" w:lineRule="auto"/>
        <w:ind w:left="1418" w:hanging="425" w:firstLineChars="0"/>
        <w:jc w:val="both"/>
        <w:rPr>
          <w:rFonts w:eastAsia="楷体_GB2312"/>
        </w:rPr>
      </w:pPr>
      <w:r>
        <w:rPr>
          <w:rFonts w:eastAsia="楷体_GB2312"/>
          <w:color w:val="000000"/>
          <w:lang w:eastAsia="zh-CN"/>
        </w:rPr>
        <w:t>最后，将所有余额作为“次级资产支持证券”的收益，转入“信托分配（证券）账户”。</w:t>
      </w:r>
    </w:p>
    <w:p w14:paraId="293C003E">
      <w:pPr>
        <w:numPr>
          <w:ilvl w:val="1"/>
          <w:numId w:val="7"/>
        </w:numPr>
        <w:rPr>
          <w:rFonts w:eastAsia="楷体_GB2312"/>
          <w:b/>
          <w:color w:val="000000"/>
          <w:sz w:val="24"/>
        </w:rPr>
      </w:pPr>
      <w:bookmarkStart w:id="500" w:name="_Ref520475419"/>
      <w:bookmarkStart w:id="501" w:name="_Ref243195766"/>
      <w:bookmarkStart w:id="502" w:name="_Ref489438285"/>
      <w:bookmarkStart w:id="503" w:name="_Ref449564181"/>
      <w:r>
        <w:rPr>
          <w:rFonts w:eastAsia="楷体_GB2312"/>
          <w:b/>
          <w:color w:val="000000"/>
          <w:sz w:val="24"/>
        </w:rPr>
        <w:t>信托（流动性）储备账户资金的运用</w:t>
      </w:r>
      <w:bookmarkEnd w:id="500"/>
    </w:p>
    <w:p w14:paraId="7DE20C88">
      <w:pPr>
        <w:numPr>
          <w:ilvl w:val="2"/>
          <w:numId w:val="7"/>
        </w:numPr>
        <w:spacing w:line="360" w:lineRule="auto"/>
        <w:ind w:left="1701" w:hanging="708"/>
        <w:rPr>
          <w:rFonts w:eastAsia="楷体_GB2312"/>
          <w:color w:val="000000"/>
          <w:sz w:val="24"/>
        </w:rPr>
      </w:pPr>
      <w:bookmarkStart w:id="504" w:name="_Ref520398673"/>
      <w:r>
        <w:rPr>
          <w:rFonts w:eastAsia="楷体_GB2312"/>
          <w:color w:val="000000"/>
          <w:sz w:val="24"/>
        </w:rPr>
        <w:t>在“违约事件”发生前的每个“信托分配日”，“受托人”应指示“资金保管机构”将该日在“信托（流动性）储备账户”中的金额按以下顺序进行分配：</w:t>
      </w:r>
      <w:bookmarkEnd w:id="504"/>
    </w:p>
    <w:p w14:paraId="6407BE95">
      <w:pPr>
        <w:numPr>
          <w:ilvl w:val="0"/>
          <w:numId w:val="27"/>
        </w:numPr>
        <w:spacing w:line="360" w:lineRule="auto"/>
        <w:rPr>
          <w:rFonts w:eastAsia="楷体_GB2312"/>
          <w:color w:val="000000"/>
          <w:sz w:val="24"/>
        </w:rPr>
      </w:pPr>
      <w:bookmarkStart w:id="505" w:name="_Ref520398732"/>
      <w:r>
        <w:rPr>
          <w:rFonts w:eastAsia="楷体_GB2312"/>
          <w:color w:val="000000"/>
          <w:sz w:val="24"/>
        </w:rPr>
        <w:t>将超出“必备流动性储备金额”的超额款项转入“信托收款账户”；</w:t>
      </w:r>
      <w:bookmarkEnd w:id="505"/>
    </w:p>
    <w:p w14:paraId="182739AA">
      <w:pPr>
        <w:numPr>
          <w:ilvl w:val="0"/>
          <w:numId w:val="27"/>
        </w:numPr>
        <w:spacing w:line="360" w:lineRule="auto"/>
        <w:rPr>
          <w:rFonts w:eastAsia="楷体_GB2312"/>
          <w:color w:val="000000"/>
          <w:sz w:val="24"/>
        </w:rPr>
      </w:pPr>
      <w:r>
        <w:rPr>
          <w:rFonts w:eastAsia="楷体_GB2312"/>
          <w:color w:val="000000"/>
          <w:sz w:val="24"/>
        </w:rPr>
        <w:t>如“信托收款账户”内的资金按照本合同第</w:t>
      </w:r>
      <w:r>
        <w:rPr>
          <w:rFonts w:eastAsia="楷体_GB2312"/>
          <w:color w:val="000000"/>
          <w:sz w:val="24"/>
        </w:rPr>
        <w:fldChar w:fldCharType="begin"/>
      </w:r>
      <w:r>
        <w:rPr>
          <w:rFonts w:eastAsia="楷体_GB2312"/>
          <w:color w:val="000000"/>
          <w:sz w:val="24"/>
        </w:rPr>
        <w:instrText xml:space="preserve"> REF _Ref449359897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条约定的分配顺序在“信托分配日”不足以支付“优先级资产支持证券”当期应付利息（在按照前述第</w:t>
      </w:r>
      <w:r>
        <w:rPr>
          <w:rFonts w:eastAsia="楷体_GB2312"/>
          <w:color w:val="000000"/>
          <w:sz w:val="24"/>
        </w:rPr>
        <w:fldChar w:fldCharType="begin"/>
      </w:r>
      <w:r>
        <w:rPr>
          <w:rFonts w:eastAsia="楷体_GB2312"/>
          <w:color w:val="000000"/>
          <w:sz w:val="24"/>
        </w:rPr>
        <w:instrText xml:space="preserve"> REF _Ref520398673 \r \h  \* MERGEFORMAT </w:instrText>
      </w:r>
      <w:r>
        <w:rPr>
          <w:rFonts w:eastAsia="楷体_GB2312"/>
          <w:color w:val="000000"/>
          <w:sz w:val="24"/>
        </w:rPr>
        <w:fldChar w:fldCharType="separate"/>
      </w:r>
      <w:r>
        <w:rPr>
          <w:rFonts w:eastAsia="楷体_GB2312"/>
          <w:color w:val="000000"/>
          <w:sz w:val="24"/>
        </w:rPr>
        <w:t>11.6.1</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_Ref520398732 \r \h  \* MERGEFORMAT </w:instrText>
      </w:r>
      <w:r>
        <w:rPr>
          <w:rFonts w:eastAsia="楷体_GB2312"/>
          <w:color w:val="000000"/>
          <w:sz w:val="24"/>
        </w:rPr>
        <w:fldChar w:fldCharType="separate"/>
      </w:r>
      <w:r>
        <w:rPr>
          <w:rFonts w:eastAsia="楷体_GB2312"/>
          <w:color w:val="000000"/>
          <w:sz w:val="24"/>
        </w:rPr>
        <w:t>(1)</w:t>
      </w:r>
      <w:r>
        <w:rPr>
          <w:rFonts w:eastAsia="楷体_GB2312"/>
          <w:color w:val="000000"/>
          <w:sz w:val="24"/>
        </w:rPr>
        <w:fldChar w:fldCharType="end"/>
      </w:r>
      <w:r>
        <w:rPr>
          <w:rFonts w:eastAsia="楷体_GB2312"/>
          <w:color w:val="000000"/>
          <w:sz w:val="24"/>
        </w:rPr>
        <w:t>项转入超额款项后仍短缺的部分），则将等值于短缺金额的款项转入“信托收款账户”；</w:t>
      </w:r>
    </w:p>
    <w:p w14:paraId="33DBF8F0">
      <w:pPr>
        <w:numPr>
          <w:ilvl w:val="0"/>
          <w:numId w:val="27"/>
        </w:numPr>
        <w:spacing w:line="360" w:lineRule="auto"/>
        <w:rPr>
          <w:rFonts w:eastAsia="楷体_GB2312"/>
          <w:color w:val="000000"/>
          <w:sz w:val="24"/>
        </w:rPr>
      </w:pPr>
      <w:r>
        <w:rPr>
          <w:rFonts w:eastAsia="楷体_GB2312"/>
          <w:color w:val="000000"/>
          <w:sz w:val="24"/>
        </w:rPr>
        <w:t>将剩余金额保留在“信托（流动性）储备账户”。</w:t>
      </w:r>
    </w:p>
    <w:p w14:paraId="18E9E249">
      <w:pPr>
        <w:numPr>
          <w:ilvl w:val="2"/>
          <w:numId w:val="7"/>
        </w:numPr>
        <w:spacing w:line="360" w:lineRule="auto"/>
        <w:ind w:left="1701" w:hanging="708"/>
        <w:rPr>
          <w:rFonts w:eastAsia="楷体_GB2312"/>
          <w:color w:val="000000"/>
          <w:sz w:val="24"/>
        </w:rPr>
      </w:pPr>
      <w:r>
        <w:rPr>
          <w:rFonts w:eastAsia="楷体_GB2312"/>
          <w:color w:val="000000"/>
          <w:sz w:val="24"/>
        </w:rPr>
        <w:t>如在某个【“信托核算日”/“信托分配日”】，“受托人”计算出“信托账户”内的资金按照“《信托合同》”约定的分配顺序在该日紧邻的下一个“支付日”足以支付完毕所有“优先级资产支持证券”的本金，则“受托人”应于该【“信托核算日”紧邻的下一个】“信托分配日”指示“资金保管机构”将届时“信托（流动性）储备账户”中的全部金额转入“信托收款账户”。此后，“信托（流动性）储备账户”中不必再储备资金。</w:t>
      </w:r>
    </w:p>
    <w:p w14:paraId="5F9ACEDA">
      <w:pPr>
        <w:numPr>
          <w:ilvl w:val="2"/>
          <w:numId w:val="7"/>
        </w:numPr>
        <w:spacing w:line="360" w:lineRule="auto"/>
        <w:ind w:left="1701" w:hanging="708"/>
        <w:rPr>
          <w:rFonts w:eastAsia="楷体_GB2312"/>
          <w:color w:val="000000"/>
          <w:sz w:val="24"/>
        </w:rPr>
      </w:pPr>
      <w:r>
        <w:rPr>
          <w:rFonts w:eastAsia="楷体_GB2312"/>
          <w:color w:val="000000"/>
          <w:sz w:val="24"/>
        </w:rPr>
        <w:t>在发生“违约事件”时或在“信托终止日”后，“受托人”应指示“资金保管机构”将届时“信托（流动性）储备账户”中的全部金额转入“信托收款账户”。此后，“信托（流动性）储备账户”中不必再储备资金。</w:t>
      </w:r>
    </w:p>
    <w:p w14:paraId="50FE7436">
      <w:pPr>
        <w:numPr>
          <w:ilvl w:val="1"/>
          <w:numId w:val="7"/>
        </w:numPr>
        <w:spacing w:line="360" w:lineRule="auto"/>
        <w:rPr>
          <w:rFonts w:eastAsia="楷体_GB2312"/>
          <w:color w:val="000000"/>
          <w:sz w:val="24"/>
        </w:rPr>
      </w:pPr>
      <w:bookmarkStart w:id="506" w:name="_Ref520400643"/>
      <w:r>
        <w:rPr>
          <w:rFonts w:eastAsia="楷体_GB2312"/>
          <w:b/>
          <w:color w:val="000000"/>
          <w:sz w:val="24"/>
        </w:rPr>
        <w:t>信托分配（税收）账户项下资金的运用</w:t>
      </w:r>
      <w:bookmarkEnd w:id="501"/>
      <w:bookmarkEnd w:id="502"/>
      <w:bookmarkEnd w:id="503"/>
      <w:bookmarkEnd w:id="506"/>
    </w:p>
    <w:p w14:paraId="4CBD0E7D">
      <w:pPr>
        <w:numPr>
          <w:ilvl w:val="2"/>
          <w:numId w:val="7"/>
        </w:numPr>
        <w:spacing w:line="360" w:lineRule="auto"/>
        <w:ind w:left="1701" w:hanging="708"/>
        <w:rPr>
          <w:rFonts w:eastAsia="楷体_GB2312"/>
        </w:rPr>
      </w:pPr>
      <w:r>
        <w:rPr>
          <w:rFonts w:eastAsia="楷体_GB2312"/>
          <w:color w:val="000000"/>
          <w:sz w:val="24"/>
        </w:rPr>
        <w:t>如果</w:t>
      </w:r>
      <w:r>
        <w:rPr>
          <w:rFonts w:eastAsia="楷体_GB2312"/>
          <w:bCs/>
          <w:color w:val="000000"/>
          <w:sz w:val="24"/>
        </w:rPr>
        <w:t>“</w:t>
      </w:r>
      <w:r>
        <w:rPr>
          <w:rFonts w:eastAsia="楷体_GB2312"/>
          <w:color w:val="000000"/>
          <w:sz w:val="24"/>
        </w:rPr>
        <w:t>中国”“法律”规定由“受托人”缴纳与“信托”相关的“税费”，“受托人”应指示“资金保管机构”将“信托分配（税收）账户”中的金额按以下顺序进行支付：</w:t>
      </w:r>
    </w:p>
    <w:p w14:paraId="0BE1A735">
      <w:pPr>
        <w:pStyle w:val="142"/>
        <w:widowControl w:val="0"/>
        <w:numPr>
          <w:ilvl w:val="0"/>
          <w:numId w:val="28"/>
        </w:numPr>
        <w:spacing w:line="360" w:lineRule="auto"/>
        <w:ind w:left="2127" w:hanging="426" w:firstLineChars="0"/>
        <w:jc w:val="both"/>
        <w:rPr>
          <w:rFonts w:eastAsia="楷体_GB2312"/>
          <w:lang w:eastAsia="zh-CN"/>
        </w:rPr>
      </w:pPr>
      <w:r>
        <w:rPr>
          <w:rFonts w:eastAsia="楷体_GB2312"/>
          <w:lang w:eastAsia="zh-CN"/>
        </w:rPr>
        <w:t>向主管税务机关支付“信托”届时应缴纳的税款（如“受托人”进行垫付的，则“受托人”有权优先受偿其垫付的相应款项）；</w:t>
      </w:r>
    </w:p>
    <w:p w14:paraId="6AD84EE7">
      <w:pPr>
        <w:pStyle w:val="142"/>
        <w:widowControl w:val="0"/>
        <w:numPr>
          <w:ilvl w:val="0"/>
          <w:numId w:val="28"/>
        </w:numPr>
        <w:spacing w:line="360" w:lineRule="auto"/>
        <w:ind w:left="2127" w:hanging="426" w:firstLineChars="0"/>
        <w:jc w:val="both"/>
        <w:rPr>
          <w:rFonts w:eastAsia="楷体_GB2312"/>
          <w:color w:val="000000"/>
          <w:kern w:val="2"/>
          <w:lang w:eastAsia="zh-CN"/>
        </w:rPr>
      </w:pPr>
      <w:r>
        <w:rPr>
          <w:rFonts w:eastAsia="楷体_GB2312"/>
          <w:lang w:eastAsia="zh-CN"/>
        </w:rPr>
        <w:t>将剩余金额保留在“信托分配（税收）账户”。</w:t>
      </w:r>
    </w:p>
    <w:p w14:paraId="0757EC08">
      <w:pPr>
        <w:numPr>
          <w:ilvl w:val="2"/>
          <w:numId w:val="7"/>
        </w:numPr>
        <w:spacing w:line="360" w:lineRule="auto"/>
        <w:ind w:left="1701" w:hanging="708"/>
        <w:rPr>
          <w:rFonts w:eastAsia="楷体_GB2312"/>
          <w:color w:val="000000"/>
          <w:sz w:val="24"/>
        </w:rPr>
      </w:pPr>
      <w:r>
        <w:rPr>
          <w:rFonts w:eastAsia="楷体_GB2312"/>
          <w:color w:val="000000"/>
          <w:sz w:val="24"/>
        </w:rPr>
        <w:t>在“信托”所有应付税款全部支付完成后或在“信托终止日”后，“受托人”应指示“资金保管机构”将“信托分配（税收）账户”中的金额转入“信托收款账户”。</w:t>
      </w:r>
    </w:p>
    <w:p w14:paraId="5306A8FA">
      <w:pPr>
        <w:numPr>
          <w:ilvl w:val="1"/>
          <w:numId w:val="7"/>
        </w:numPr>
        <w:spacing w:line="360" w:lineRule="auto"/>
        <w:rPr>
          <w:rFonts w:eastAsia="楷体_GB2312"/>
          <w:b/>
          <w:color w:val="000000"/>
          <w:sz w:val="24"/>
        </w:rPr>
      </w:pPr>
      <w:r>
        <w:rPr>
          <w:rFonts w:eastAsia="楷体_GB2312"/>
          <w:b/>
          <w:color w:val="000000"/>
          <w:sz w:val="24"/>
        </w:rPr>
        <w:t>信托分配（证券）账户资金的运用</w:t>
      </w:r>
    </w:p>
    <w:p w14:paraId="418D4FE5">
      <w:pPr>
        <w:spacing w:line="360" w:lineRule="auto"/>
        <w:ind w:left="992"/>
        <w:rPr>
          <w:rFonts w:eastAsia="楷体_GB2312"/>
        </w:rPr>
      </w:pPr>
      <w:bookmarkStart w:id="507" w:name="_Ref146336202"/>
      <w:r>
        <w:rPr>
          <w:rFonts w:eastAsia="楷体_GB2312"/>
          <w:kern w:val="0"/>
          <w:sz w:val="24"/>
        </w:rPr>
        <w:t>“受托人”应指示“资金保管机构”于</w:t>
      </w:r>
      <w:r>
        <w:rPr>
          <w:rFonts w:eastAsia="楷体_GB2312"/>
          <w:color w:val="000000"/>
          <w:sz w:val="24"/>
        </w:rPr>
        <w:t>每个“支付日”前第【】个“工作日”【</w:t>
      </w:r>
      <w:r>
        <w:rPr>
          <w:rFonts w:eastAsia="楷体_GB2312"/>
          <w:i/>
          <w:iCs/>
          <w:color w:val="000000"/>
          <w:sz w:val="24"/>
        </w:rPr>
        <w:t>具体时点</w:t>
      </w:r>
      <w:r>
        <w:rPr>
          <w:rFonts w:eastAsia="楷体_GB2312"/>
          <w:color w:val="000000"/>
          <w:sz w:val="24"/>
        </w:rPr>
        <w:t>】</w:t>
      </w:r>
      <w:r>
        <w:rPr>
          <w:rFonts w:eastAsia="楷体_GB2312"/>
          <w:kern w:val="0"/>
          <w:sz w:val="24"/>
        </w:rPr>
        <w:t>前，将“信托分配（证券）账户”中的金额按以下顺序进行支付，如不足以支付，</w:t>
      </w:r>
      <w:r>
        <w:rPr>
          <w:rFonts w:eastAsia="楷体_GB2312"/>
          <w:color w:val="000000"/>
          <w:sz w:val="24"/>
        </w:rPr>
        <w:t>同顺序的各项应受偿金额按比例支付，且</w:t>
      </w:r>
      <w:r>
        <w:rPr>
          <w:rFonts w:eastAsia="楷体_GB2312"/>
          <w:kern w:val="0"/>
          <w:sz w:val="24"/>
        </w:rPr>
        <w:t>所差金额应按以下顺序在下一期支付：</w:t>
      </w:r>
    </w:p>
    <w:p w14:paraId="653ECC32">
      <w:pPr>
        <w:pStyle w:val="142"/>
        <w:widowControl w:val="0"/>
        <w:numPr>
          <w:ilvl w:val="0"/>
          <w:numId w:val="29"/>
        </w:numPr>
        <w:spacing w:line="360" w:lineRule="auto"/>
        <w:ind w:left="1418" w:hanging="425" w:firstLineChars="0"/>
        <w:jc w:val="both"/>
        <w:rPr>
          <w:rFonts w:eastAsia="楷体_GB2312"/>
        </w:rPr>
      </w:pPr>
      <w:r>
        <w:rPr>
          <w:rFonts w:eastAsia="楷体_GB2312"/>
          <w:lang w:eastAsia="zh-CN"/>
        </w:rPr>
        <w:t>将当期应支付的“优先级资产支持证券”的利息款项转至“登记托管机构”指定的资金账户；</w:t>
      </w:r>
    </w:p>
    <w:p w14:paraId="352C895C">
      <w:pPr>
        <w:pStyle w:val="142"/>
        <w:widowControl w:val="0"/>
        <w:numPr>
          <w:ilvl w:val="0"/>
          <w:numId w:val="29"/>
        </w:numPr>
        <w:spacing w:line="360" w:lineRule="auto"/>
        <w:ind w:left="1418" w:hanging="425" w:firstLineChars="0"/>
        <w:jc w:val="both"/>
        <w:rPr>
          <w:rFonts w:eastAsia="楷体_GB2312"/>
          <w:lang w:eastAsia="zh-CN"/>
        </w:rPr>
      </w:pPr>
      <w:r>
        <w:rPr>
          <w:rFonts w:eastAsia="楷体_GB2312"/>
          <w:lang w:eastAsia="zh-CN"/>
        </w:rPr>
        <w:t>转入“登记托管机构”指定的资金账户一定金额，直至所有“优先级资产支持证券”的“未偿本金余额”全部得以清偿；</w:t>
      </w:r>
    </w:p>
    <w:p w14:paraId="089E572E">
      <w:pPr>
        <w:pStyle w:val="142"/>
        <w:widowControl w:val="0"/>
        <w:numPr>
          <w:ilvl w:val="0"/>
          <w:numId w:val="29"/>
        </w:numPr>
        <w:spacing w:line="360" w:lineRule="auto"/>
        <w:ind w:left="1418" w:hanging="425" w:firstLineChars="0"/>
        <w:jc w:val="both"/>
        <w:rPr>
          <w:rFonts w:eastAsia="楷体_GB2312"/>
          <w:lang w:eastAsia="zh-CN"/>
        </w:rPr>
      </w:pPr>
      <w:r>
        <w:rPr>
          <w:rFonts w:eastAsia="楷体_GB2312"/>
          <w:lang w:eastAsia="zh-CN"/>
        </w:rPr>
        <w:t>转入“登记托管机构”指定的资金账户一定金额，直至所有“次级资产支持证券”的“未偿本金余额”全部得以清偿；</w:t>
      </w:r>
    </w:p>
    <w:p w14:paraId="3D834180">
      <w:pPr>
        <w:pStyle w:val="142"/>
        <w:widowControl w:val="0"/>
        <w:numPr>
          <w:ilvl w:val="0"/>
          <w:numId w:val="29"/>
        </w:numPr>
        <w:spacing w:line="360" w:lineRule="auto"/>
        <w:ind w:left="1418" w:hanging="425" w:firstLineChars="0"/>
        <w:jc w:val="both"/>
        <w:rPr>
          <w:rFonts w:eastAsia="楷体_GB2312"/>
          <w:lang w:eastAsia="zh-CN"/>
        </w:rPr>
      </w:pPr>
      <w:r>
        <w:rPr>
          <w:rFonts w:eastAsia="楷体_GB2312"/>
          <w:lang w:eastAsia="zh-CN"/>
        </w:rPr>
        <w:t>转入“登记托管机构”指定的资金账户一定金额，直至所有“次级资产支持证券固定资金成本”向“次级资产支持证券持有人”全部清偿完毕；</w:t>
      </w:r>
    </w:p>
    <w:p w14:paraId="6F749168">
      <w:pPr>
        <w:pStyle w:val="142"/>
        <w:widowControl w:val="0"/>
        <w:numPr>
          <w:ilvl w:val="0"/>
          <w:numId w:val="29"/>
        </w:numPr>
        <w:spacing w:line="360" w:lineRule="auto"/>
        <w:ind w:left="1418" w:hanging="425" w:firstLineChars="0"/>
        <w:jc w:val="both"/>
        <w:rPr>
          <w:rFonts w:eastAsia="楷体_GB2312"/>
          <w:color w:val="000000"/>
        </w:rPr>
      </w:pPr>
      <w:r>
        <w:rPr>
          <w:rFonts w:eastAsia="楷体_GB2312"/>
          <w:lang w:eastAsia="zh-CN"/>
        </w:rPr>
        <w:t>在“次级资产支持证券固定资金成本”全部得以清偿后，将“信托分配（证券）账户”中的剩余款项，作为“次级资产支持证券”的收益转至其在“</w:t>
      </w:r>
      <w:r>
        <w:rPr>
          <w:rFonts w:eastAsia="楷体_GB2312"/>
          <w:color w:val="000000"/>
          <w:lang w:eastAsia="zh-CN"/>
        </w:rPr>
        <w:t>支付代理机构</w:t>
      </w:r>
      <w:r>
        <w:rPr>
          <w:rFonts w:eastAsia="楷体_GB2312"/>
          <w:lang w:eastAsia="zh-CN"/>
        </w:rPr>
        <w:t>”指定的资金账户。</w:t>
      </w:r>
      <w:bookmarkEnd w:id="507"/>
    </w:p>
    <w:p w14:paraId="65FB2EAD">
      <w:pPr>
        <w:numPr>
          <w:ilvl w:val="1"/>
          <w:numId w:val="7"/>
        </w:numPr>
        <w:spacing w:line="360" w:lineRule="auto"/>
        <w:rPr>
          <w:rFonts w:eastAsia="楷体_GB2312"/>
          <w:b/>
          <w:color w:val="000000"/>
          <w:sz w:val="24"/>
        </w:rPr>
      </w:pPr>
      <w:bookmarkStart w:id="508" w:name="_Ref146341242"/>
      <w:r>
        <w:rPr>
          <w:rFonts w:eastAsia="楷体_GB2312"/>
          <w:b/>
          <w:color w:val="000000"/>
          <w:sz w:val="24"/>
        </w:rPr>
        <w:t>信托分配（费用和开支）账户资金的运用</w:t>
      </w:r>
      <w:bookmarkEnd w:id="508"/>
    </w:p>
    <w:p w14:paraId="703A9243">
      <w:pPr>
        <w:spacing w:line="360" w:lineRule="auto"/>
        <w:ind w:left="993"/>
        <w:rPr>
          <w:rFonts w:eastAsia="楷体_GB2312"/>
          <w:kern w:val="0"/>
          <w:sz w:val="24"/>
        </w:rPr>
      </w:pPr>
      <w:r>
        <w:rPr>
          <w:rFonts w:eastAsia="楷体_GB2312"/>
          <w:kern w:val="0"/>
          <w:sz w:val="24"/>
        </w:rPr>
        <w:t>于每个“支付日”</w:t>
      </w:r>
      <w:r>
        <w:rPr>
          <w:rFonts w:eastAsia="楷体_GB2312"/>
          <w:color w:val="000000"/>
          <w:sz w:val="24"/>
        </w:rPr>
        <w:t>（或</w:t>
      </w:r>
      <w:r>
        <w:rPr>
          <w:rFonts w:eastAsia="楷体_GB2312"/>
          <w:bCs/>
          <w:color w:val="000000"/>
          <w:sz w:val="24"/>
        </w:rPr>
        <w:t>“</w:t>
      </w:r>
      <w:r>
        <w:rPr>
          <w:rFonts w:eastAsia="楷体_GB2312"/>
          <w:color w:val="000000"/>
          <w:sz w:val="24"/>
        </w:rPr>
        <w:t>中国”“法律”规定、“交易文件”约定的其他日期）</w:t>
      </w:r>
      <w:r>
        <w:rPr>
          <w:rFonts w:eastAsia="楷体_GB2312"/>
          <w:kern w:val="0"/>
          <w:sz w:val="24"/>
        </w:rPr>
        <w:t>，“信托分配（费用和开支）账户”中的金额应按本合同第</w:t>
      </w:r>
      <w:r>
        <w:rPr>
          <w:rFonts w:eastAsia="楷体_GB2312"/>
          <w:kern w:val="0"/>
          <w:sz w:val="24"/>
          <w:lang w:eastAsia="zh-TW"/>
        </w:rPr>
        <w:fldChar w:fldCharType="begin"/>
      </w:r>
      <w:r>
        <w:rPr>
          <w:rFonts w:eastAsia="楷体_GB2312"/>
          <w:kern w:val="0"/>
          <w:sz w:val="24"/>
        </w:rPr>
        <w:instrText xml:space="preserve"> REF _Ref180850300 \r \h  \* MERGEFORMAT </w:instrText>
      </w:r>
      <w:r>
        <w:rPr>
          <w:rFonts w:eastAsia="楷体_GB2312"/>
          <w:kern w:val="0"/>
          <w:sz w:val="24"/>
          <w:lang w:eastAsia="zh-TW"/>
        </w:rPr>
        <w:fldChar w:fldCharType="separate"/>
      </w:r>
      <w:r>
        <w:rPr>
          <w:rFonts w:eastAsia="楷体_GB2312"/>
          <w:kern w:val="0"/>
          <w:sz w:val="24"/>
        </w:rPr>
        <w:t>11.3</w:t>
      </w:r>
      <w:r>
        <w:rPr>
          <w:rFonts w:eastAsia="楷体_GB2312"/>
          <w:kern w:val="0"/>
          <w:sz w:val="24"/>
          <w:lang w:eastAsia="zh-TW"/>
        </w:rPr>
        <w:fldChar w:fldCharType="end"/>
      </w:r>
      <w:r>
        <w:rPr>
          <w:rFonts w:eastAsia="楷体_GB2312"/>
          <w:kern w:val="0"/>
          <w:sz w:val="24"/>
        </w:rPr>
        <w:t>款、第</w:t>
      </w:r>
      <w:r>
        <w:rPr>
          <w:rFonts w:eastAsia="楷体_GB2312"/>
          <w:kern w:val="0"/>
          <w:sz w:val="24"/>
          <w:lang w:eastAsia="zh-TW"/>
        </w:rPr>
        <w:fldChar w:fldCharType="begin"/>
      </w:r>
      <w:r>
        <w:rPr>
          <w:rFonts w:eastAsia="楷体_GB2312"/>
          <w:kern w:val="0"/>
          <w:sz w:val="24"/>
        </w:rPr>
        <w:instrText xml:space="preserve"> REF _Ref180850304 \r \h  \* MERGEFORMAT </w:instrText>
      </w:r>
      <w:r>
        <w:rPr>
          <w:rFonts w:eastAsia="楷体_GB2312"/>
          <w:kern w:val="0"/>
          <w:sz w:val="24"/>
          <w:lang w:eastAsia="zh-TW"/>
        </w:rPr>
        <w:fldChar w:fldCharType="separate"/>
      </w:r>
      <w:r>
        <w:rPr>
          <w:rFonts w:eastAsia="楷体_GB2312"/>
          <w:kern w:val="0"/>
          <w:sz w:val="24"/>
        </w:rPr>
        <w:t>11.4</w:t>
      </w:r>
      <w:r>
        <w:rPr>
          <w:rFonts w:eastAsia="楷体_GB2312"/>
          <w:kern w:val="0"/>
          <w:sz w:val="24"/>
          <w:lang w:eastAsia="zh-TW"/>
        </w:rPr>
        <w:fldChar w:fldCharType="end"/>
      </w:r>
      <w:r>
        <w:rPr>
          <w:rFonts w:eastAsia="楷体_GB2312"/>
          <w:kern w:val="0"/>
          <w:sz w:val="24"/>
        </w:rPr>
        <w:t>款和第</w:t>
      </w:r>
      <w:r>
        <w:rPr>
          <w:rFonts w:eastAsia="楷体_GB2312"/>
          <w:kern w:val="0"/>
          <w:sz w:val="24"/>
          <w:lang w:eastAsia="zh-TW"/>
        </w:rPr>
        <w:fldChar w:fldCharType="begin"/>
      </w:r>
      <w:r>
        <w:rPr>
          <w:rFonts w:eastAsia="楷体_GB2312"/>
          <w:kern w:val="0"/>
          <w:sz w:val="24"/>
        </w:rPr>
        <w:instrText xml:space="preserve"> REF _Ref520391584 \r \h  \* MERGEFORMAT </w:instrText>
      </w:r>
      <w:r>
        <w:rPr>
          <w:rFonts w:eastAsia="楷体_GB2312"/>
          <w:kern w:val="0"/>
          <w:sz w:val="24"/>
          <w:lang w:eastAsia="zh-TW"/>
        </w:rPr>
        <w:fldChar w:fldCharType="separate"/>
      </w:r>
      <w:r>
        <w:rPr>
          <w:rFonts w:eastAsia="楷体_GB2312"/>
          <w:kern w:val="0"/>
          <w:sz w:val="24"/>
        </w:rPr>
        <w:t>11.5</w:t>
      </w:r>
      <w:r>
        <w:rPr>
          <w:rFonts w:eastAsia="楷体_GB2312"/>
          <w:kern w:val="0"/>
          <w:sz w:val="24"/>
          <w:lang w:eastAsia="zh-TW"/>
        </w:rPr>
        <w:fldChar w:fldCharType="end"/>
      </w:r>
      <w:r>
        <w:rPr>
          <w:rFonts w:eastAsia="楷体_GB2312"/>
          <w:kern w:val="0"/>
          <w:sz w:val="24"/>
        </w:rPr>
        <w:t>款约定的顺序向收款方进行支付。</w:t>
      </w:r>
    </w:p>
    <w:p w14:paraId="120A185E">
      <w:pPr>
        <w:numPr>
          <w:ilvl w:val="1"/>
          <w:numId w:val="7"/>
        </w:numPr>
        <w:spacing w:line="360" w:lineRule="auto"/>
        <w:rPr>
          <w:rFonts w:eastAsia="楷体_GB2312"/>
          <w:b/>
          <w:color w:val="000000"/>
          <w:sz w:val="24"/>
        </w:rPr>
      </w:pPr>
      <w:r>
        <w:rPr>
          <w:rFonts w:eastAsia="楷体_GB2312"/>
          <w:b/>
          <w:color w:val="000000"/>
          <w:sz w:val="24"/>
        </w:rPr>
        <w:t>处置费用账户资金的运用</w:t>
      </w:r>
    </w:p>
    <w:p w14:paraId="285583B9">
      <w:pPr>
        <w:spacing w:line="360" w:lineRule="auto"/>
        <w:ind w:left="992"/>
        <w:rPr>
          <w:rFonts w:eastAsia="楷体_GB2312"/>
          <w:b/>
          <w:i/>
          <w:iCs/>
          <w:color w:val="000000"/>
          <w:sz w:val="24"/>
        </w:rPr>
      </w:pPr>
      <w:r>
        <w:rPr>
          <w:rFonts w:eastAsia="楷体_GB2312"/>
          <w:b/>
          <w:i/>
          <w:iCs/>
          <w:color w:val="FF0000"/>
          <w:sz w:val="24"/>
        </w:rPr>
        <w:t>【注：本款适用于单独设置处置费用账户的情况，如处置费用兑付频率与项目现金流兑付一致，可直接在支付日支付处置费用。】</w:t>
      </w:r>
    </w:p>
    <w:p w14:paraId="73AB252C">
      <w:pPr>
        <w:numPr>
          <w:ilvl w:val="2"/>
          <w:numId w:val="7"/>
        </w:numPr>
        <w:tabs>
          <w:tab w:val="left" w:pos="1701"/>
          <w:tab w:val="clear" w:pos="1712"/>
        </w:tabs>
        <w:spacing w:line="360" w:lineRule="auto"/>
        <w:ind w:left="1701" w:hanging="850"/>
        <w:rPr>
          <w:rFonts w:eastAsia="楷体_GB2312"/>
          <w:color w:val="000000"/>
          <w:sz w:val="24"/>
        </w:rPr>
      </w:pPr>
      <w:r>
        <w:rPr>
          <w:rFonts w:eastAsia="楷体_GB2312"/>
          <w:color w:val="000000"/>
          <w:sz w:val="24"/>
        </w:rPr>
        <w:t>在“信托终止日”前，“受托人”应向“资金保管机构”发出“划款指令”，指令“资金保管机构”于每个【“支付日”/“处置费用分配日”】将“处置费用账户”资金中【全额/相当于该“支付日”对应的“收款期间”收到的“处置收入”对应的应由“信托财产”承担的“处置费用”金额】划转至“贷款服务机构”指定的资金账户，用于支付“处置费用”。</w:t>
      </w:r>
    </w:p>
    <w:p w14:paraId="07BE0871">
      <w:pPr>
        <w:numPr>
          <w:ilvl w:val="2"/>
          <w:numId w:val="7"/>
        </w:numPr>
        <w:spacing w:line="360" w:lineRule="auto"/>
        <w:ind w:left="1701" w:hanging="850"/>
        <w:rPr>
          <w:rFonts w:eastAsia="楷体_GB2312"/>
          <w:kern w:val="0"/>
          <w:sz w:val="24"/>
        </w:rPr>
      </w:pPr>
      <w:r>
        <w:rPr>
          <w:rFonts w:eastAsia="楷体_GB2312"/>
          <w:color w:val="000000"/>
          <w:sz w:val="24"/>
        </w:rPr>
        <w:t>“信托终止日”后，“受托人”应当向“资金保管机构”发出“划款指令”，指令“资金保管机构”于每个【“支付日”/“处置费用分配日”】将“处置费用账户”资金中【全额/相当于“受托人”清算所得的“处置收入”对应的“处置费用”总金额】划转至“贷款服务机构”指定的资金账户，用于支付“处置费用”。</w:t>
      </w:r>
    </w:p>
    <w:p w14:paraId="2056897B">
      <w:pPr>
        <w:numPr>
          <w:ilvl w:val="0"/>
          <w:numId w:val="7"/>
        </w:numPr>
        <w:spacing w:line="360" w:lineRule="auto"/>
        <w:outlineLvl w:val="0"/>
        <w:rPr>
          <w:rFonts w:eastAsia="楷体_GB2312"/>
          <w:color w:val="000000"/>
          <w:sz w:val="24"/>
        </w:rPr>
      </w:pPr>
      <w:bookmarkStart w:id="509" w:name="_Toc449695408"/>
      <w:bookmarkEnd w:id="509"/>
      <w:bookmarkStart w:id="510" w:name="_Toc449706469"/>
      <w:bookmarkEnd w:id="510"/>
      <w:bookmarkStart w:id="511" w:name="_DV_M276"/>
      <w:bookmarkEnd w:id="511"/>
      <w:bookmarkStart w:id="512" w:name="_DV_M299"/>
      <w:bookmarkEnd w:id="512"/>
      <w:bookmarkStart w:id="513" w:name="_Toc449566340"/>
      <w:bookmarkEnd w:id="513"/>
      <w:bookmarkStart w:id="514" w:name="_DV_M281"/>
      <w:bookmarkEnd w:id="514"/>
      <w:bookmarkStart w:id="515" w:name="_Toc449695407"/>
      <w:bookmarkEnd w:id="515"/>
      <w:bookmarkStart w:id="516" w:name="_DV_M303"/>
      <w:bookmarkEnd w:id="516"/>
      <w:bookmarkStart w:id="517" w:name="_Toc449566349"/>
      <w:bookmarkEnd w:id="517"/>
      <w:bookmarkStart w:id="518" w:name="_DV_M326"/>
      <w:bookmarkEnd w:id="518"/>
      <w:bookmarkStart w:id="519" w:name="_DV_M300"/>
      <w:bookmarkEnd w:id="519"/>
      <w:bookmarkStart w:id="520" w:name="_Toc449566344"/>
      <w:bookmarkEnd w:id="520"/>
      <w:bookmarkStart w:id="521" w:name="_DV_M279"/>
      <w:bookmarkEnd w:id="521"/>
      <w:bookmarkStart w:id="522" w:name="_DV_M338"/>
      <w:bookmarkEnd w:id="522"/>
      <w:bookmarkStart w:id="523" w:name="_DV_M277"/>
      <w:bookmarkEnd w:id="523"/>
      <w:bookmarkStart w:id="524" w:name="_Toc449706473"/>
      <w:bookmarkEnd w:id="524"/>
      <w:bookmarkStart w:id="525" w:name="_Toc340398381"/>
      <w:bookmarkEnd w:id="525"/>
      <w:bookmarkStart w:id="526" w:name="_DV_M267"/>
      <w:bookmarkEnd w:id="526"/>
      <w:bookmarkStart w:id="527" w:name="_Toc340083730"/>
      <w:bookmarkEnd w:id="527"/>
      <w:bookmarkStart w:id="528" w:name="_Toc340398386"/>
      <w:bookmarkEnd w:id="528"/>
      <w:bookmarkStart w:id="529" w:name="_DV_M278"/>
      <w:bookmarkEnd w:id="529"/>
      <w:bookmarkStart w:id="530" w:name="_Toc148384224"/>
      <w:bookmarkEnd w:id="530"/>
      <w:bookmarkStart w:id="531" w:name="_Toc340156100"/>
      <w:bookmarkEnd w:id="531"/>
      <w:bookmarkStart w:id="532" w:name="_DV_M280"/>
      <w:bookmarkEnd w:id="532"/>
      <w:bookmarkStart w:id="533" w:name="_Toc339987091"/>
      <w:bookmarkEnd w:id="533"/>
      <w:bookmarkStart w:id="534" w:name="_DV_M298"/>
      <w:bookmarkEnd w:id="534"/>
      <w:bookmarkStart w:id="535" w:name="_Toc449695402"/>
      <w:bookmarkEnd w:id="535"/>
      <w:bookmarkStart w:id="536" w:name="_DV_M305"/>
      <w:bookmarkEnd w:id="536"/>
      <w:bookmarkStart w:id="537" w:name="_DV_M390"/>
      <w:bookmarkEnd w:id="537"/>
      <w:bookmarkStart w:id="538" w:name="_Toc148440814"/>
      <w:bookmarkEnd w:id="538"/>
      <w:bookmarkStart w:id="539" w:name="_Toc449706463"/>
      <w:bookmarkEnd w:id="539"/>
      <w:bookmarkStart w:id="540" w:name="_Toc449566351"/>
      <w:bookmarkEnd w:id="540"/>
      <w:bookmarkStart w:id="541" w:name="_Toc449706468"/>
      <w:bookmarkEnd w:id="541"/>
      <w:bookmarkStart w:id="542" w:name="_Toc449706472"/>
      <w:bookmarkEnd w:id="542"/>
      <w:bookmarkStart w:id="543" w:name="_Toc449695405"/>
      <w:bookmarkEnd w:id="543"/>
      <w:bookmarkStart w:id="544" w:name="_DV_M337"/>
      <w:bookmarkEnd w:id="544"/>
      <w:bookmarkStart w:id="545" w:name="_Toc449566342"/>
      <w:bookmarkEnd w:id="545"/>
      <w:bookmarkStart w:id="546" w:name="_DV_M348"/>
      <w:bookmarkEnd w:id="546"/>
      <w:bookmarkStart w:id="547" w:name="_Toc449695406"/>
      <w:bookmarkEnd w:id="547"/>
      <w:bookmarkStart w:id="548" w:name="_Toc449695409"/>
      <w:bookmarkEnd w:id="548"/>
      <w:bookmarkStart w:id="549" w:name="_DV_M358"/>
      <w:bookmarkEnd w:id="549"/>
      <w:bookmarkStart w:id="550" w:name="_Toc449695411"/>
      <w:bookmarkEnd w:id="550"/>
      <w:bookmarkStart w:id="551" w:name="_Toc449566352"/>
      <w:bookmarkEnd w:id="551"/>
      <w:bookmarkStart w:id="552" w:name="_DV_M297"/>
      <w:bookmarkEnd w:id="552"/>
      <w:bookmarkStart w:id="553" w:name="_DV_M335"/>
      <w:bookmarkEnd w:id="553"/>
      <w:bookmarkStart w:id="554" w:name="_Toc449706466"/>
      <w:bookmarkEnd w:id="554"/>
      <w:bookmarkStart w:id="555" w:name="_Toc449695412"/>
      <w:bookmarkEnd w:id="555"/>
      <w:bookmarkStart w:id="556" w:name="_Toc340398380"/>
      <w:bookmarkEnd w:id="556"/>
      <w:bookmarkStart w:id="557" w:name="_DV_M265"/>
      <w:bookmarkEnd w:id="557"/>
      <w:bookmarkStart w:id="558" w:name="_Toc449566353"/>
      <w:bookmarkEnd w:id="558"/>
      <w:bookmarkStart w:id="559" w:name="_DV_M391"/>
      <w:bookmarkEnd w:id="559"/>
      <w:bookmarkStart w:id="560" w:name="_Toc449695403"/>
      <w:bookmarkEnd w:id="560"/>
      <w:bookmarkStart w:id="561" w:name="_DV_M339"/>
      <w:bookmarkEnd w:id="561"/>
      <w:bookmarkStart w:id="562" w:name="_DV_M275"/>
      <w:bookmarkEnd w:id="562"/>
      <w:bookmarkStart w:id="563" w:name="_Toc449695401"/>
      <w:bookmarkEnd w:id="563"/>
      <w:bookmarkStart w:id="564" w:name="_Toc449706465"/>
      <w:bookmarkEnd w:id="564"/>
      <w:bookmarkStart w:id="565" w:name="_Toc449706461"/>
      <w:bookmarkEnd w:id="565"/>
      <w:bookmarkStart w:id="566" w:name="_Toc449566348"/>
      <w:bookmarkEnd w:id="566"/>
      <w:bookmarkStart w:id="567" w:name="_Toc340398379"/>
      <w:bookmarkEnd w:id="567"/>
      <w:bookmarkStart w:id="568" w:name="_Toc449695413"/>
      <w:bookmarkEnd w:id="568"/>
      <w:bookmarkStart w:id="569" w:name="_Toc339987045"/>
      <w:bookmarkEnd w:id="569"/>
      <w:bookmarkStart w:id="570" w:name="_Toc148384241"/>
      <w:bookmarkEnd w:id="570"/>
      <w:bookmarkStart w:id="571" w:name="_DV_M356"/>
      <w:bookmarkEnd w:id="571"/>
      <w:bookmarkStart w:id="572" w:name="_Toc449706462"/>
      <w:bookmarkEnd w:id="572"/>
      <w:bookmarkStart w:id="573" w:name="_Toc449566345"/>
      <w:bookmarkEnd w:id="573"/>
      <w:bookmarkStart w:id="574" w:name="_Toc449695410"/>
      <w:bookmarkEnd w:id="574"/>
      <w:bookmarkStart w:id="575" w:name="_Toc449566339"/>
      <w:bookmarkEnd w:id="575"/>
      <w:bookmarkStart w:id="576" w:name="_Toc449706464"/>
      <w:bookmarkEnd w:id="576"/>
      <w:bookmarkStart w:id="577" w:name="_Toc449566341"/>
      <w:bookmarkEnd w:id="577"/>
      <w:bookmarkStart w:id="578" w:name="_Toc340398377"/>
      <w:bookmarkEnd w:id="578"/>
      <w:bookmarkStart w:id="579" w:name="_Toc107769481"/>
      <w:bookmarkEnd w:id="579"/>
      <w:bookmarkStart w:id="580" w:name="_Toc449706470"/>
      <w:bookmarkEnd w:id="580"/>
      <w:bookmarkStart w:id="581" w:name="_DV_M389"/>
      <w:bookmarkEnd w:id="581"/>
      <w:bookmarkStart w:id="582" w:name="_Toc449695404"/>
      <w:bookmarkEnd w:id="582"/>
      <w:bookmarkStart w:id="583" w:name="_Toc149386481"/>
      <w:bookmarkEnd w:id="583"/>
      <w:bookmarkStart w:id="584" w:name="_DV_M359"/>
      <w:bookmarkEnd w:id="584"/>
      <w:bookmarkStart w:id="585" w:name="_Toc340398382"/>
      <w:bookmarkEnd w:id="585"/>
      <w:bookmarkStart w:id="586" w:name="_Toc449566346"/>
      <w:bookmarkEnd w:id="586"/>
      <w:bookmarkStart w:id="587" w:name="_Toc449695414"/>
      <w:bookmarkEnd w:id="587"/>
      <w:bookmarkStart w:id="588" w:name="_DV_M301"/>
      <w:bookmarkEnd w:id="588"/>
      <w:bookmarkStart w:id="589" w:name="_Toc449706471"/>
      <w:bookmarkEnd w:id="589"/>
      <w:bookmarkStart w:id="590" w:name="_Toc449566343"/>
      <w:bookmarkEnd w:id="590"/>
      <w:bookmarkStart w:id="591" w:name="_DV_M292"/>
      <w:bookmarkEnd w:id="591"/>
      <w:bookmarkStart w:id="592" w:name="_DV_M363"/>
      <w:bookmarkEnd w:id="592"/>
      <w:bookmarkStart w:id="593" w:name="_Toc449566350"/>
      <w:bookmarkEnd w:id="593"/>
      <w:bookmarkStart w:id="594" w:name="_DV_M272"/>
      <w:bookmarkEnd w:id="594"/>
      <w:bookmarkStart w:id="595" w:name="_Toc219654342"/>
      <w:bookmarkEnd w:id="595"/>
      <w:bookmarkStart w:id="596" w:name="_DV_M388"/>
      <w:bookmarkEnd w:id="596"/>
      <w:bookmarkStart w:id="597" w:name="_Toc340398385"/>
      <w:bookmarkEnd w:id="597"/>
      <w:bookmarkStart w:id="598" w:name="_DV_M304"/>
      <w:bookmarkEnd w:id="598"/>
      <w:bookmarkStart w:id="599" w:name="_Toc449706467"/>
      <w:bookmarkEnd w:id="599"/>
      <w:bookmarkStart w:id="600" w:name="_DV_M273"/>
      <w:bookmarkEnd w:id="600"/>
      <w:bookmarkStart w:id="601" w:name="_Toc449566347"/>
      <w:bookmarkEnd w:id="601"/>
      <w:bookmarkStart w:id="602" w:name="_DV_M362"/>
      <w:bookmarkEnd w:id="602"/>
      <w:bookmarkStart w:id="603" w:name="_DV_M325"/>
      <w:bookmarkEnd w:id="603"/>
      <w:bookmarkStart w:id="604" w:name="_DV_M324"/>
      <w:bookmarkEnd w:id="604"/>
      <w:bookmarkStart w:id="605" w:name="_DV_M336"/>
      <w:bookmarkEnd w:id="605"/>
      <w:bookmarkStart w:id="606" w:name="_DV_M302"/>
      <w:bookmarkEnd w:id="606"/>
      <w:bookmarkStart w:id="607" w:name="_DV_M264"/>
      <w:bookmarkEnd w:id="607"/>
      <w:bookmarkStart w:id="608" w:name="_Toc340398383"/>
      <w:bookmarkEnd w:id="608"/>
      <w:bookmarkStart w:id="609" w:name="_Toc340398384"/>
      <w:bookmarkEnd w:id="609"/>
      <w:bookmarkStart w:id="610" w:name="_Toc146989600"/>
      <w:bookmarkEnd w:id="610"/>
      <w:bookmarkStart w:id="611" w:name="_DV_M323"/>
      <w:bookmarkEnd w:id="611"/>
      <w:bookmarkStart w:id="612" w:name="_DV_M357"/>
      <w:bookmarkEnd w:id="612"/>
      <w:bookmarkStart w:id="613" w:name="_Toc340398378"/>
      <w:bookmarkEnd w:id="613"/>
      <w:bookmarkStart w:id="614" w:name="_Toc148440828"/>
      <w:bookmarkEnd w:id="614"/>
      <w:bookmarkStart w:id="615" w:name="_DV_M306"/>
      <w:bookmarkEnd w:id="615"/>
      <w:bookmarkStart w:id="616" w:name="_Toc449706459"/>
      <w:bookmarkEnd w:id="616"/>
      <w:bookmarkStart w:id="617" w:name="_Toc449695400"/>
      <w:bookmarkEnd w:id="617"/>
      <w:bookmarkStart w:id="618" w:name="_Toc449706460"/>
      <w:bookmarkEnd w:id="618"/>
      <w:bookmarkStart w:id="619" w:name="_Toc219710679"/>
      <w:bookmarkStart w:id="620" w:name="_Toc225538160"/>
      <w:bookmarkStart w:id="621" w:name="_Ref201650603"/>
      <w:r>
        <w:rPr>
          <w:rFonts w:eastAsia="楷体_GB2312"/>
          <w:b/>
          <w:bCs/>
          <w:color w:val="000000"/>
          <w:sz w:val="24"/>
        </w:rPr>
        <w:t>信托财产的</w:t>
      </w:r>
      <w:r>
        <w:rPr>
          <w:rFonts w:eastAsia="楷体_GB2312"/>
          <w:b/>
          <w:color w:val="000000"/>
          <w:sz w:val="24"/>
        </w:rPr>
        <w:t>管理与保管</w:t>
      </w:r>
      <w:bookmarkEnd w:id="619"/>
      <w:bookmarkEnd w:id="620"/>
    </w:p>
    <w:p w14:paraId="32E4F087">
      <w:pPr>
        <w:numPr>
          <w:ilvl w:val="1"/>
          <w:numId w:val="7"/>
        </w:numPr>
        <w:spacing w:line="360" w:lineRule="auto"/>
        <w:rPr>
          <w:rFonts w:eastAsia="楷体_GB2312"/>
          <w:color w:val="000000"/>
          <w:sz w:val="24"/>
        </w:rPr>
      </w:pPr>
      <w:r>
        <w:rPr>
          <w:rFonts w:eastAsia="楷体_GB2312"/>
          <w:b/>
          <w:color w:val="000000"/>
          <w:sz w:val="24"/>
        </w:rPr>
        <w:t>接受受托机构委托管理资产的贷款服务机构的职责</w:t>
      </w:r>
    </w:p>
    <w:p w14:paraId="13EC3167">
      <w:pPr>
        <w:numPr>
          <w:ilvl w:val="2"/>
          <w:numId w:val="7"/>
        </w:numPr>
        <w:spacing w:line="360" w:lineRule="auto"/>
        <w:ind w:left="1701" w:hanging="708"/>
        <w:rPr>
          <w:rFonts w:eastAsia="楷体_GB2312"/>
          <w:color w:val="000000"/>
          <w:sz w:val="24"/>
        </w:rPr>
      </w:pPr>
      <w:r>
        <w:rPr>
          <w:rFonts w:eastAsia="楷体_GB2312"/>
          <w:color w:val="000000"/>
          <w:sz w:val="24"/>
        </w:rPr>
        <w:t>“受托人”应委托“【贷款服务机构全称】”担任“贷款服务机构”提供与“资产池”相关的“服务”。“贷款服务机构”应履行的“服务”职责主要包括：(1)催收“资产”，维护“资产”的诉讼时效和法定期间；(2)收取、归集“处置收入”，并于“处置收入转付日”将“处置收入”划付至“信托账户”；(3)保存反映“资产”日常管理和处置（包括“借款人”所有还款、对“借款人”采取催收措施、委托代理机构催收或诉讼）的必要记录；(4)根据【“贷款服务手册”和】应适用的</w:t>
      </w:r>
      <w:r>
        <w:rPr>
          <w:rFonts w:eastAsia="楷体_GB2312"/>
          <w:bCs/>
          <w:color w:val="000000"/>
          <w:sz w:val="24"/>
        </w:rPr>
        <w:t>“</w:t>
      </w:r>
      <w:r>
        <w:rPr>
          <w:rFonts w:eastAsia="楷体_GB2312"/>
          <w:color w:val="000000"/>
          <w:sz w:val="24"/>
        </w:rPr>
        <w:t>中国”“法律”采取必要的催收或处置措施；(5)根据“《服务合同》”编制并向“受托人”递交“贷款服务机构报告”；(6)发生“贷款服务机构解任事件”后，在收到“替代贷款服务机构”或“受托人”的要求后，根据“替代贷款服务机构”或“受托人”的指示，移交“账户记录”和相关代为持有的资产；(7)提供与“资产池”相关的其他管理活动。“资产池”管理的具体事宜，由“受托人”与“贷款服务机构”另行签署“《服务合同》”予以约定。</w:t>
      </w:r>
    </w:p>
    <w:p w14:paraId="67300565">
      <w:pPr>
        <w:numPr>
          <w:ilvl w:val="2"/>
          <w:numId w:val="7"/>
        </w:numPr>
        <w:spacing w:line="360" w:lineRule="auto"/>
        <w:ind w:left="1701" w:hanging="708"/>
        <w:rPr>
          <w:rFonts w:eastAsia="楷体_GB2312"/>
          <w:color w:val="000000"/>
          <w:sz w:val="24"/>
        </w:rPr>
      </w:pPr>
      <w:r>
        <w:rPr>
          <w:rFonts w:eastAsia="楷体_GB2312"/>
          <w:color w:val="000000"/>
          <w:sz w:val="24"/>
        </w:rPr>
        <w:t>在发生“贷款服务机构解任事件”时，“受托人”应于该“贷款服务机构解任事件”发生后立即通知“资金保管机构”、“评级机构”以及所有“资产支持证券持有人”，并召集“资产支持证券持有人大会”。更换“贷款服务机构”的具体程序由“受托人”和“贷款服务机构”在“《服务合同》”中具体约定。</w:t>
      </w:r>
    </w:p>
    <w:p w14:paraId="384BF0BF">
      <w:pPr>
        <w:numPr>
          <w:ilvl w:val="2"/>
          <w:numId w:val="7"/>
        </w:numPr>
        <w:spacing w:line="360" w:lineRule="auto"/>
        <w:ind w:left="1701" w:hanging="708"/>
        <w:rPr>
          <w:rFonts w:eastAsia="楷体_GB2312"/>
          <w:color w:val="FF0000"/>
          <w:sz w:val="24"/>
        </w:rPr>
      </w:pPr>
      <w:r>
        <w:rPr>
          <w:rFonts w:eastAsia="楷体_GB2312"/>
          <w:color w:val="000000"/>
          <w:sz w:val="24"/>
        </w:rPr>
        <w:t>“受托人”同意并认可，在“信托”终止后，“受托人”有权按照</w:t>
      </w:r>
      <w:bookmarkStart w:id="622" w:name="_Hlk529983911"/>
      <w:r>
        <w:rPr>
          <w:rFonts w:eastAsia="楷体_GB2312"/>
          <w:bCs/>
          <w:color w:val="000000"/>
          <w:sz w:val="24"/>
        </w:rPr>
        <w:t>“</w:t>
      </w:r>
      <w:r>
        <w:rPr>
          <w:rFonts w:eastAsia="楷体_GB2312"/>
          <w:color w:val="000000"/>
          <w:sz w:val="24"/>
        </w:rPr>
        <w:t>中国”“法律”的规定和“《信托合同》”的约定</w:t>
      </w:r>
      <w:bookmarkEnd w:id="622"/>
      <w:r>
        <w:rPr>
          <w:rFonts w:eastAsia="楷体_GB2312"/>
          <w:color w:val="000000"/>
          <w:sz w:val="24"/>
        </w:rPr>
        <w:t>对“资产”予以核销。如被核销的“资产”产生处置收入，则应当计入“处置收入”并按照“交易文件”的约定转付至“信托账户”。</w:t>
      </w:r>
      <w:bookmarkStart w:id="623" w:name="_Hlk152841805"/>
    </w:p>
    <w:p w14:paraId="545FAF4B">
      <w:pPr>
        <w:spacing w:line="360" w:lineRule="auto"/>
        <w:ind w:left="1701" w:leftChars="810"/>
        <w:rPr>
          <w:rFonts w:eastAsia="楷体_GB2312"/>
          <w:b/>
          <w:bCs/>
          <w:i/>
          <w:iCs/>
          <w:color w:val="FF0000"/>
          <w:kern w:val="0"/>
          <w:sz w:val="24"/>
        </w:rPr>
      </w:pPr>
      <w:r>
        <w:rPr>
          <w:rFonts w:eastAsia="楷体_GB2312"/>
          <w:b/>
          <w:bCs/>
          <w:i/>
          <w:iCs/>
          <w:color w:val="FF0000"/>
          <w:kern w:val="0"/>
          <w:sz w:val="24"/>
        </w:rPr>
        <w:t>【注：如果受托人不采取资产核销的行为，则可以删除与核销资产相关的约定，下同。】</w:t>
      </w:r>
      <w:bookmarkEnd w:id="623"/>
    </w:p>
    <w:p w14:paraId="75D4BD44">
      <w:pPr>
        <w:numPr>
          <w:ilvl w:val="2"/>
          <w:numId w:val="7"/>
        </w:numPr>
        <w:spacing w:line="360" w:lineRule="auto"/>
        <w:ind w:left="1701" w:hanging="708"/>
        <w:rPr>
          <w:rFonts w:eastAsia="楷体_GB2312"/>
          <w:sz w:val="24"/>
        </w:rPr>
      </w:pPr>
      <w:r>
        <w:rPr>
          <w:rFonts w:eastAsia="楷体_GB2312"/>
          <w:sz w:val="24"/>
        </w:rPr>
        <w:t>以</w:t>
      </w:r>
      <w:r>
        <w:rPr>
          <w:rFonts w:eastAsia="楷体_GB2312"/>
          <w:color w:val="000000"/>
          <w:sz w:val="24"/>
        </w:rPr>
        <w:t>遵守</w:t>
      </w:r>
      <w:r>
        <w:rPr>
          <w:rFonts w:eastAsia="楷体_GB2312"/>
          <w:sz w:val="24"/>
        </w:rPr>
        <w:t>相关“交易文件”约定为前提，“贷款服务机构”有权就“资产处置方案”进行谈判，确定该等“资产处置方案”项下相关协议的条款和条件，签署、完成并执行“资产处置方案”项下相关协议。“贷款服务机构”可自行或委托外包催收机构对“资产”进行催收。从有利于“资产”回收的角度，在遵守“中国”“法律”和“监管部门”的要求的前提下，“受托人”授权“贷款服务机构”有权自行决定是否对“贷款”进行减免、与“借款人”就还款时间或还款计划做出约定、接受及处置“抵债资产”，或采取“中国”“法律”、监管要求及“贷款服务机构”内部制度所允许的其他“贷款”要素调整措施，并就前述事项与“借款人”及其他相关方签署一切必要的合同、协议或其他文件。</w:t>
      </w:r>
    </w:p>
    <w:p w14:paraId="7D6DBE8E">
      <w:pPr>
        <w:spacing w:line="360" w:lineRule="auto"/>
        <w:ind w:left="1701" w:leftChars="810"/>
        <w:rPr>
          <w:rFonts w:eastAsia="楷体_GB2312"/>
          <w:b/>
          <w:bCs/>
          <w:i/>
          <w:iCs/>
          <w:color w:val="FF0000"/>
          <w:kern w:val="0"/>
          <w:sz w:val="24"/>
        </w:rPr>
      </w:pPr>
      <w:r>
        <w:rPr>
          <w:rFonts w:eastAsia="楷体_GB2312"/>
          <w:b/>
          <w:bCs/>
          <w:i/>
          <w:iCs/>
          <w:color w:val="FF0000"/>
          <w:kern w:val="0"/>
          <w:sz w:val="24"/>
        </w:rPr>
        <w:t>【注：贷款服务机构的相关权限可根据具体项目情况调整。】</w:t>
      </w:r>
    </w:p>
    <w:p w14:paraId="76343A4E">
      <w:pPr>
        <w:numPr>
          <w:ilvl w:val="2"/>
          <w:numId w:val="7"/>
        </w:numPr>
        <w:spacing w:line="360" w:lineRule="auto"/>
        <w:ind w:left="1701" w:hanging="708"/>
        <w:rPr>
          <w:rFonts w:eastAsia="楷体_GB2312"/>
          <w:i/>
          <w:iCs/>
          <w:sz w:val="24"/>
        </w:rPr>
      </w:pPr>
      <w:bookmarkStart w:id="624" w:name="_Ref47872335"/>
      <w:bookmarkStart w:id="625" w:name="_Ref458955213"/>
      <w:bookmarkStart w:id="626" w:name="_Ref92193007"/>
      <w:r>
        <w:rPr>
          <w:rFonts w:eastAsia="楷体_GB2312"/>
          <w:sz w:val="24"/>
        </w:rPr>
        <w:t>如“优先级资产支持证券”本息全部清偿完毕，则“贷款服务机构”可在“优先级资产支持证券”本息全部清偿完毕之日起【】日内提交针对全部或部分“资产”的“资产处置方案”（不包括“清仓回购”，下同），“受托人”可根据具体情况选择以发送意见征求函或现场讨论或通讯讨论等方式向【全体“次级资产支持证券持有人”】征求意见。上述“资产处置方案”经全部“次级资产支持证券持有人”书面一致同意后方可执行。【全部“次级资产支持证券持有人”】应在“优先级资产支持证券”本息全部清偿完毕之日起【】日内对是否批准“贷款服务机构”所提“资产处置方案”作出决定。</w:t>
      </w:r>
      <w:bookmarkEnd w:id="624"/>
      <w:bookmarkEnd w:id="625"/>
    </w:p>
    <w:p w14:paraId="4CADB1C1">
      <w:pPr>
        <w:spacing w:line="360" w:lineRule="auto"/>
        <w:ind w:left="1701" w:leftChars="810"/>
        <w:rPr>
          <w:rFonts w:eastAsia="楷体_GB2312"/>
          <w:b/>
          <w:bCs/>
          <w:i/>
          <w:iCs/>
          <w:color w:val="FF0000"/>
          <w:kern w:val="0"/>
          <w:sz w:val="24"/>
        </w:rPr>
      </w:pPr>
      <w:r>
        <w:rPr>
          <w:rFonts w:eastAsia="楷体_GB2312"/>
          <w:b/>
          <w:bCs/>
          <w:i/>
          <w:iCs/>
          <w:color w:val="FF0000"/>
          <w:kern w:val="0"/>
          <w:sz w:val="24"/>
        </w:rPr>
        <w:t>【注：征求“资产处置方案”意见的表决权重根据项目的具体安排进行调整。】</w:t>
      </w:r>
      <w:bookmarkEnd w:id="626"/>
    </w:p>
    <w:p w14:paraId="3E8916D9">
      <w:pPr>
        <w:numPr>
          <w:ilvl w:val="2"/>
          <w:numId w:val="7"/>
        </w:numPr>
        <w:spacing w:line="360" w:lineRule="auto"/>
        <w:ind w:left="1701" w:hanging="708"/>
        <w:rPr>
          <w:rFonts w:eastAsia="楷体_GB2312"/>
          <w:sz w:val="24"/>
        </w:rPr>
      </w:pPr>
      <w:bookmarkStart w:id="627" w:name="_Ref458957606"/>
      <w:r>
        <w:rPr>
          <w:rFonts w:eastAsia="楷体_GB2312"/>
          <w:sz w:val="24"/>
        </w:rPr>
        <w:t>如“贷款服务机构”未按照前述第</w:t>
      </w:r>
      <w:r>
        <w:rPr>
          <w:rFonts w:eastAsia="楷体_GB2312"/>
          <w:sz w:val="24"/>
        </w:rPr>
        <w:fldChar w:fldCharType="begin"/>
      </w:r>
      <w:r>
        <w:rPr>
          <w:rFonts w:eastAsia="楷体_GB2312"/>
          <w:sz w:val="24"/>
        </w:rPr>
        <w:instrText xml:space="preserve"> REF _Ref47872335 \r \h  \* MERGEFORMAT </w:instrText>
      </w:r>
      <w:r>
        <w:rPr>
          <w:rFonts w:eastAsia="楷体_GB2312"/>
          <w:sz w:val="24"/>
        </w:rPr>
        <w:fldChar w:fldCharType="separate"/>
      </w:r>
      <w:r>
        <w:rPr>
          <w:rFonts w:eastAsia="楷体_GB2312"/>
          <w:sz w:val="24"/>
        </w:rPr>
        <w:t>12.1.5</w:t>
      </w:r>
      <w:r>
        <w:rPr>
          <w:rFonts w:eastAsia="楷体_GB2312"/>
          <w:sz w:val="24"/>
        </w:rPr>
        <w:fldChar w:fldCharType="end"/>
      </w:r>
      <w:r>
        <w:rPr>
          <w:rFonts w:eastAsia="楷体_GB2312"/>
          <w:sz w:val="24"/>
        </w:rPr>
        <w:t>款提出“资产处置方案”，或该“资产处置方案”未获批准，或该“资产处置方案”执行后仍有剩余“非现金信托财产”，且届时“贷款服务机构”同时为“次级资产支持证券持有人”，任一“次级资产支持证券持有人”有权向“受托人”提议且“受托人”亦有权自行提议对届时剩余全部“信托财产”进行原状分配。“受托人”可根据具体情况选择以发送意见征求函或现场讨论或通讯讨论等方式向全体“次级资产支持证券持有人”征求意见。“次级资产支持证券持有人”应及时（如为书面方式，则应在“受托人”指定的合理时间内）给出反馈意见。全体“次级资产支持证券持有人”就剩余全部“信托财产”的原状分配达成书面一致意见的，“信托”终止，“受托人”应按照本合同第</w:t>
      </w:r>
      <w:r>
        <w:rPr>
          <w:rFonts w:eastAsia="楷体_GB2312"/>
          <w:sz w:val="24"/>
        </w:rPr>
        <w:fldChar w:fldCharType="begin"/>
      </w:r>
      <w:r>
        <w:rPr>
          <w:rFonts w:eastAsia="楷体_GB2312"/>
          <w:sz w:val="24"/>
        </w:rPr>
        <w:instrText xml:space="preserve"> REF _Ref520391584 \r \h  \* MERGEFORMAT </w:instrText>
      </w:r>
      <w:r>
        <w:rPr>
          <w:rFonts w:eastAsia="楷体_GB2312"/>
          <w:sz w:val="24"/>
        </w:rPr>
        <w:fldChar w:fldCharType="separate"/>
      </w:r>
      <w:r>
        <w:rPr>
          <w:rFonts w:eastAsia="楷体_GB2312"/>
          <w:sz w:val="24"/>
        </w:rPr>
        <w:t>11.5</w:t>
      </w:r>
      <w:r>
        <w:rPr>
          <w:rFonts w:eastAsia="楷体_GB2312"/>
          <w:sz w:val="24"/>
        </w:rPr>
        <w:fldChar w:fldCharType="end"/>
      </w:r>
      <w:r>
        <w:rPr>
          <w:rFonts w:eastAsia="楷体_GB2312"/>
          <w:sz w:val="24"/>
        </w:rPr>
        <w:t>款约定的分配顺序及经全体“次级资产支持证券持有人”一致同意的“信托财产”原状分配方案对“信托财产”进行分配。</w:t>
      </w:r>
      <w:bookmarkEnd w:id="627"/>
    </w:p>
    <w:p w14:paraId="2C3E6597">
      <w:pPr>
        <w:numPr>
          <w:ilvl w:val="2"/>
          <w:numId w:val="7"/>
        </w:numPr>
        <w:spacing w:line="360" w:lineRule="auto"/>
        <w:ind w:left="1701" w:hanging="708"/>
        <w:rPr>
          <w:rFonts w:eastAsia="楷体_GB2312"/>
          <w:sz w:val="24"/>
        </w:rPr>
      </w:pPr>
      <w:bookmarkStart w:id="628" w:name="_Ref47870283"/>
      <w:r>
        <w:rPr>
          <w:rFonts w:eastAsia="楷体_GB2312"/>
          <w:sz w:val="24"/>
        </w:rPr>
        <w:t>如“贷款服务机构”未按照前述第</w:t>
      </w:r>
      <w:r>
        <w:rPr>
          <w:rFonts w:eastAsia="楷体_GB2312"/>
          <w:sz w:val="24"/>
        </w:rPr>
        <w:fldChar w:fldCharType="begin"/>
      </w:r>
      <w:r>
        <w:rPr>
          <w:rFonts w:eastAsia="楷体_GB2312"/>
          <w:sz w:val="24"/>
        </w:rPr>
        <w:instrText xml:space="preserve"> REF _Ref47872335 \r \h  \* MERGEFORMAT </w:instrText>
      </w:r>
      <w:r>
        <w:rPr>
          <w:rFonts w:eastAsia="楷体_GB2312"/>
          <w:sz w:val="24"/>
        </w:rPr>
        <w:fldChar w:fldCharType="separate"/>
      </w:r>
      <w:r>
        <w:rPr>
          <w:rFonts w:eastAsia="楷体_GB2312"/>
          <w:sz w:val="24"/>
        </w:rPr>
        <w:t>12.1.5</w:t>
      </w:r>
      <w:r>
        <w:rPr>
          <w:rFonts w:eastAsia="楷体_GB2312"/>
          <w:sz w:val="24"/>
        </w:rPr>
        <w:fldChar w:fldCharType="end"/>
      </w:r>
      <w:r>
        <w:rPr>
          <w:rFonts w:eastAsia="楷体_GB2312"/>
          <w:sz w:val="24"/>
        </w:rPr>
        <w:t>款提出“资产处置方案”，或该“资产处置方案”未获批准，或该“资产处置方案”执行后仍有剩余</w:t>
      </w:r>
      <w:r>
        <w:rPr>
          <w:rFonts w:eastAsia="楷体_GB2312"/>
          <w:color w:val="000000"/>
          <w:sz w:val="24"/>
        </w:rPr>
        <w:t>“非现金信托财产”，</w:t>
      </w:r>
      <w:r>
        <w:rPr>
          <w:rFonts w:eastAsia="楷体_GB2312"/>
          <w:sz w:val="24"/>
        </w:rPr>
        <w:t>则“贷款服务机构”或任一“次级资产支持证券持有人”有权向“受托人”提出或“受托人”有权自行提出通过拍卖、向“贷款服务机构”、“次级资产支持证券持有人”或其他方转让等方式对全部“非现金信托财产”进行整体处置的方案（该等处置方案至少应包括处置方式和处置价格等关键要素）。“受托人”收到该等处置方案后或自行提出处置方案的，可根据具体情况选择以发送意见征求函或现场讨论或通讯讨论等方式向全体“次级资产支持证券持有人”征求意见。“次级资产支持证券持有人”应及时（如为书面方式，则应在受托人指定的合理时间内）给出反馈意见。“受托人”应按照经全体“次级资产支持证券持有人”达成一致的书面意见对“信托财产”进行处置。</w:t>
      </w:r>
      <w:bookmarkEnd w:id="628"/>
    </w:p>
    <w:p w14:paraId="70CC14C4">
      <w:pPr>
        <w:spacing w:line="360" w:lineRule="auto"/>
        <w:ind w:left="1701" w:leftChars="810"/>
        <w:rPr>
          <w:rFonts w:eastAsia="楷体_GB2312"/>
          <w:b/>
          <w:bCs/>
          <w:color w:val="FF0000"/>
          <w:sz w:val="24"/>
        </w:rPr>
      </w:pPr>
      <w:r>
        <w:rPr>
          <w:rFonts w:eastAsia="楷体_GB2312"/>
          <w:b/>
          <w:bCs/>
          <w:i/>
          <w:iCs/>
          <w:color w:val="FF0000"/>
          <w:kern w:val="0"/>
          <w:sz w:val="24"/>
        </w:rPr>
        <w:t>【注：资产处置方案和原状分配事宜根据具体项目的需要进行调整。】</w:t>
      </w:r>
    </w:p>
    <w:p w14:paraId="604584E8">
      <w:pPr>
        <w:numPr>
          <w:ilvl w:val="1"/>
          <w:numId w:val="7"/>
        </w:numPr>
        <w:spacing w:line="360" w:lineRule="auto"/>
        <w:rPr>
          <w:rFonts w:eastAsia="楷体_GB2312"/>
          <w:b/>
          <w:color w:val="000000"/>
          <w:sz w:val="24"/>
        </w:rPr>
      </w:pPr>
      <w:r>
        <w:rPr>
          <w:rFonts w:eastAsia="楷体_GB2312"/>
          <w:b/>
          <w:color w:val="000000"/>
          <w:sz w:val="24"/>
        </w:rPr>
        <w:t>接受受托机构委托管理货币类信托财产的资金保管机构的职责</w:t>
      </w:r>
    </w:p>
    <w:p w14:paraId="6608B316">
      <w:pPr>
        <w:spacing w:line="360" w:lineRule="auto"/>
        <w:ind w:left="867" w:leftChars="413"/>
        <w:rPr>
          <w:rFonts w:eastAsia="楷体_GB2312"/>
          <w:color w:val="000000"/>
          <w:sz w:val="24"/>
        </w:rPr>
      </w:pPr>
      <w:r>
        <w:rPr>
          <w:rFonts w:eastAsia="楷体_GB2312"/>
          <w:color w:val="000000"/>
          <w:sz w:val="24"/>
        </w:rPr>
        <w:t>“受托人”应当在“资金保管机构”开立“信托账户”，并委托“资金保管机构”对该账户内的资金进行保管。“资金保管机构”的保管职责主要包括：(1)开立和管理“信托账户”，在“信托账户”下进一步设立“信托收款账户”、“信托付款账户”、“信托（流动性）储备账户”和“处置费用账户”（如有）【三/四】个一级分账户。(2)按照“受托机构”发送的“分配指令”和“划款指令”对“信托账户”及上述各分账户内的资金进行划转。(3)按照“《资金保管合同》”的约定和“受托机构”的指令将“信托账户”中的资金用于“合格投资”。(4)按“《资金保管合同》”的约定向“受托人”提供“期间资金保管报告”、“年度资金保管报告”。(5)完整保存与“信托账户”的资金保管有关凭证、账户记录、交易记录和重要合同等。“受托人”与“资金保管机构”应当就资金保管事宜另行签订“《资金保管合同》”予以约定，“资金保管机构”负责监督“信托账户”内资金的使用。在“资金保管机构”发生“资金保管机构解任事件”时，“受托人”应于该“资金保管机构解任事件”发生后立即书面通知“贷款服务机构”、“评级机构”以及所有“资产支持证券持有人”，并召集“资产支持证券持有人大会”。更换“资金保管机构”的具体程序由“受托人”和“资金保管机构”在“《资金保管合同》”中具体约定。</w:t>
      </w:r>
    </w:p>
    <w:p w14:paraId="76CB4807">
      <w:pPr>
        <w:numPr>
          <w:ilvl w:val="1"/>
          <w:numId w:val="7"/>
        </w:numPr>
        <w:spacing w:line="360" w:lineRule="auto"/>
        <w:rPr>
          <w:rFonts w:eastAsia="楷体_GB2312"/>
          <w:color w:val="000000"/>
          <w:sz w:val="24"/>
        </w:rPr>
      </w:pPr>
      <w:r>
        <w:rPr>
          <w:rFonts w:eastAsia="楷体_GB2312"/>
          <w:b/>
          <w:color w:val="000000"/>
          <w:sz w:val="24"/>
        </w:rPr>
        <w:t>信托财产的管理办法</w:t>
      </w:r>
    </w:p>
    <w:p w14:paraId="6F972A1A">
      <w:pPr>
        <w:numPr>
          <w:ilvl w:val="2"/>
          <w:numId w:val="7"/>
        </w:numPr>
        <w:spacing w:line="360" w:lineRule="auto"/>
        <w:ind w:left="1701" w:hanging="708"/>
        <w:rPr>
          <w:rFonts w:eastAsia="楷体_GB2312"/>
          <w:color w:val="000000"/>
          <w:sz w:val="24"/>
        </w:rPr>
      </w:pPr>
      <w:r>
        <w:rPr>
          <w:rFonts w:eastAsia="楷体_GB2312"/>
          <w:color w:val="000000"/>
          <w:sz w:val="24"/>
        </w:rPr>
        <w:t>“受托人”将根据相关</w:t>
      </w:r>
      <w:r>
        <w:rPr>
          <w:rFonts w:eastAsia="楷体_GB2312"/>
          <w:bCs/>
          <w:color w:val="000000"/>
          <w:sz w:val="24"/>
        </w:rPr>
        <w:t>“</w:t>
      </w:r>
      <w:r>
        <w:rPr>
          <w:rFonts w:eastAsia="楷体_GB2312"/>
          <w:color w:val="000000"/>
          <w:sz w:val="24"/>
        </w:rPr>
        <w:t>中国”“法律”、法规及规范性文件、本合同以及“受托人”内部管理特定目的信托财产相关业务操作规程的规定对“信托财产”进行管理。对“信托财产”的管理涉及“信托”设立前的准入、申报、审批等相关准备工作、“资产支持证券”的发行以及“信托”设立后的后续管理。</w:t>
      </w:r>
    </w:p>
    <w:p w14:paraId="15372780">
      <w:pPr>
        <w:numPr>
          <w:ilvl w:val="2"/>
          <w:numId w:val="7"/>
        </w:numPr>
        <w:spacing w:line="360" w:lineRule="auto"/>
        <w:ind w:left="1701" w:hanging="708"/>
        <w:rPr>
          <w:rFonts w:eastAsia="楷体_GB2312"/>
          <w:color w:val="000000"/>
          <w:sz w:val="24"/>
        </w:rPr>
      </w:pPr>
      <w:r>
        <w:rPr>
          <w:rFonts w:eastAsia="楷体_GB2312"/>
          <w:color w:val="000000"/>
          <w:sz w:val="24"/>
        </w:rPr>
        <w:t>在“信托”设立前，“受托人”将积极参与项目准入，并从尽职调查、交易方案设计、“交易文件”草拟、项目文件申报及审批、监管机关申报以及相关“交易文件”的签署等环节介入“信托”的设立工作，并负责、协调及沟通“资产支持证券”的发行、登记和托管、交易结算。</w:t>
      </w:r>
    </w:p>
    <w:p w14:paraId="7FF31D4E">
      <w:pPr>
        <w:numPr>
          <w:ilvl w:val="2"/>
          <w:numId w:val="7"/>
        </w:numPr>
        <w:spacing w:line="360" w:lineRule="auto"/>
        <w:ind w:left="1701" w:hanging="708"/>
        <w:rPr>
          <w:rFonts w:eastAsia="楷体_GB2312"/>
          <w:color w:val="000000"/>
          <w:sz w:val="24"/>
        </w:rPr>
      </w:pPr>
      <w:r>
        <w:rPr>
          <w:rFonts w:eastAsia="楷体_GB2312"/>
          <w:color w:val="000000"/>
          <w:sz w:val="24"/>
        </w:rPr>
        <w:t>在“信托”设立后，“受托人”负责发行后“资产支持证券”的交易流通申请（如需）、“信托财产”的日常管理工作。具体来说，“信托财产”的日常管理内容包括但不限于：</w:t>
      </w:r>
    </w:p>
    <w:p w14:paraId="2CB8484D">
      <w:pPr>
        <w:numPr>
          <w:ilvl w:val="0"/>
          <w:numId w:val="30"/>
        </w:numPr>
        <w:spacing w:line="360" w:lineRule="auto"/>
        <w:rPr>
          <w:rFonts w:eastAsia="楷体_GB2312"/>
          <w:color w:val="000000"/>
          <w:sz w:val="24"/>
        </w:rPr>
      </w:pPr>
      <w:r>
        <w:rPr>
          <w:rFonts w:eastAsia="楷体_GB2312"/>
          <w:color w:val="000000"/>
          <w:sz w:val="24"/>
        </w:rPr>
        <w:t>代表“资产支持证券持有人”的意愿，按照本合同及其他“交易文件”的约定，代为持有、管理、运用和处分本合同项下的“信托财产”；</w:t>
      </w:r>
    </w:p>
    <w:p w14:paraId="34BA7B54">
      <w:pPr>
        <w:numPr>
          <w:ilvl w:val="0"/>
          <w:numId w:val="30"/>
        </w:numPr>
        <w:spacing w:line="360" w:lineRule="auto"/>
        <w:rPr>
          <w:rFonts w:eastAsia="楷体_GB2312"/>
          <w:color w:val="000000"/>
          <w:sz w:val="24"/>
        </w:rPr>
      </w:pPr>
      <w:r>
        <w:rPr>
          <w:rFonts w:eastAsia="楷体_GB2312"/>
          <w:color w:val="000000"/>
          <w:sz w:val="24"/>
        </w:rPr>
        <w:t>监督“贷款服务机构”、“资金保管机构”及其他中介服务机构（如“评级机构”）等按照“《服务合同》”、“《资金保管合同》”履行其相应职责；</w:t>
      </w:r>
    </w:p>
    <w:p w14:paraId="711A18AF">
      <w:pPr>
        <w:numPr>
          <w:ilvl w:val="0"/>
          <w:numId w:val="30"/>
        </w:numPr>
        <w:spacing w:line="360" w:lineRule="auto"/>
        <w:rPr>
          <w:rFonts w:eastAsia="楷体_GB2312"/>
          <w:color w:val="000000"/>
          <w:sz w:val="24"/>
        </w:rPr>
      </w:pPr>
      <w:r>
        <w:rPr>
          <w:rFonts w:eastAsia="楷体_GB2312"/>
          <w:color w:val="000000"/>
          <w:sz w:val="24"/>
        </w:rPr>
        <w:t>积极配合“贷款服务机构”的工作并向“贷款服务机构”提供合理必要的协助（包括但不限于提供授权委托书或采取任何其他行动）；</w:t>
      </w:r>
    </w:p>
    <w:p w14:paraId="1131E33E">
      <w:pPr>
        <w:numPr>
          <w:ilvl w:val="0"/>
          <w:numId w:val="30"/>
        </w:numPr>
        <w:tabs>
          <w:tab w:val="left" w:pos="1701"/>
        </w:tabs>
        <w:spacing w:line="360" w:lineRule="auto"/>
        <w:rPr>
          <w:rFonts w:eastAsia="楷体_GB2312"/>
          <w:color w:val="000000"/>
          <w:sz w:val="24"/>
        </w:rPr>
      </w:pPr>
      <w:r>
        <w:rPr>
          <w:rFonts w:eastAsia="楷体_GB2312"/>
          <w:color w:val="000000"/>
          <w:sz w:val="24"/>
        </w:rPr>
        <w:t>将作为“信托财产”的“资产”与其固有财产和其他信托财产分别记账、分别管理，对不同证券化产品的信托财产分别记账、分别管理；</w:t>
      </w:r>
    </w:p>
    <w:p w14:paraId="41E78A21">
      <w:pPr>
        <w:numPr>
          <w:ilvl w:val="0"/>
          <w:numId w:val="30"/>
        </w:numPr>
        <w:tabs>
          <w:tab w:val="left" w:pos="1701"/>
        </w:tabs>
        <w:spacing w:line="360" w:lineRule="auto"/>
        <w:rPr>
          <w:rFonts w:eastAsia="楷体_GB2312"/>
          <w:color w:val="000000"/>
          <w:sz w:val="24"/>
        </w:rPr>
      </w:pPr>
      <w:r>
        <w:rPr>
          <w:rFonts w:eastAsia="楷体_GB2312"/>
          <w:color w:val="000000"/>
          <w:sz w:val="24"/>
        </w:rPr>
        <w:t>按本合同约定和相关</w:t>
      </w:r>
      <w:r>
        <w:rPr>
          <w:rFonts w:eastAsia="楷体_GB2312"/>
          <w:bCs/>
          <w:color w:val="000000"/>
          <w:sz w:val="24"/>
        </w:rPr>
        <w:t>“</w:t>
      </w:r>
      <w:r>
        <w:rPr>
          <w:rFonts w:eastAsia="楷体_GB2312"/>
          <w:color w:val="000000"/>
          <w:sz w:val="24"/>
        </w:rPr>
        <w:t>中国”“法律”，向“委托人”或“受益人”进行信息披露；</w:t>
      </w:r>
    </w:p>
    <w:p w14:paraId="6AAAEE33">
      <w:pPr>
        <w:numPr>
          <w:ilvl w:val="0"/>
          <w:numId w:val="30"/>
        </w:numPr>
        <w:tabs>
          <w:tab w:val="left" w:pos="1701"/>
        </w:tabs>
        <w:spacing w:line="360" w:lineRule="auto"/>
        <w:rPr>
          <w:rFonts w:eastAsia="楷体_GB2312"/>
          <w:color w:val="000000"/>
          <w:sz w:val="24"/>
        </w:rPr>
      </w:pPr>
      <w:r>
        <w:rPr>
          <w:rFonts w:eastAsia="楷体_GB2312"/>
          <w:color w:val="000000"/>
          <w:sz w:val="24"/>
        </w:rPr>
        <w:t>按本合同及其他“交易文件”的约定，按时向“资产支持证券持有人”分配其有权获得分配的“信托利益”；</w:t>
      </w:r>
    </w:p>
    <w:p w14:paraId="3A810F0B">
      <w:pPr>
        <w:numPr>
          <w:ilvl w:val="0"/>
          <w:numId w:val="30"/>
        </w:numPr>
        <w:tabs>
          <w:tab w:val="left" w:pos="1701"/>
        </w:tabs>
        <w:spacing w:line="360" w:lineRule="auto"/>
        <w:rPr>
          <w:rFonts w:eastAsia="楷体_GB2312"/>
          <w:color w:val="000000"/>
          <w:sz w:val="24"/>
        </w:rPr>
      </w:pPr>
      <w:r>
        <w:rPr>
          <w:rFonts w:eastAsia="楷体_GB2312"/>
          <w:color w:val="000000"/>
          <w:sz w:val="24"/>
        </w:rPr>
        <w:t>出现本合同约定的对“资产支持证券持有人”利益有重大影响的事项时召集“资产支持证券持有人大会”，积极配合“资产支持证券持有人大会”的召开；</w:t>
      </w:r>
    </w:p>
    <w:p w14:paraId="042ADDC9">
      <w:pPr>
        <w:numPr>
          <w:ilvl w:val="0"/>
          <w:numId w:val="30"/>
        </w:numPr>
        <w:spacing w:line="360" w:lineRule="auto"/>
        <w:rPr>
          <w:rFonts w:eastAsia="楷体_GB2312"/>
          <w:color w:val="000000"/>
          <w:sz w:val="24"/>
        </w:rPr>
      </w:pPr>
      <w:r>
        <w:rPr>
          <w:rFonts w:eastAsia="楷体_GB2312"/>
          <w:color w:val="000000"/>
          <w:sz w:val="24"/>
        </w:rPr>
        <w:t>履行</w:t>
      </w:r>
      <w:r>
        <w:rPr>
          <w:rFonts w:eastAsia="楷体_GB2312"/>
          <w:bCs/>
          <w:color w:val="000000"/>
          <w:sz w:val="24"/>
        </w:rPr>
        <w:t>“</w:t>
      </w:r>
      <w:r>
        <w:rPr>
          <w:rFonts w:eastAsia="楷体_GB2312"/>
          <w:color w:val="000000"/>
          <w:sz w:val="24"/>
        </w:rPr>
        <w:t>中国”“法律”和本合同约定的其他管理职责。</w:t>
      </w:r>
    </w:p>
    <w:p w14:paraId="7B8B11C0">
      <w:pPr>
        <w:numPr>
          <w:ilvl w:val="1"/>
          <w:numId w:val="7"/>
        </w:numPr>
        <w:spacing w:line="360" w:lineRule="auto"/>
        <w:rPr>
          <w:rFonts w:eastAsia="楷体_GB2312"/>
          <w:b/>
          <w:color w:val="000000"/>
          <w:sz w:val="24"/>
        </w:rPr>
      </w:pPr>
      <w:r>
        <w:rPr>
          <w:rFonts w:eastAsia="楷体_GB2312"/>
          <w:b/>
          <w:color w:val="000000"/>
          <w:sz w:val="24"/>
        </w:rPr>
        <w:t>其他接受受托人或委托人委托代理事务的机构职责</w:t>
      </w:r>
    </w:p>
    <w:p w14:paraId="2134F9A0">
      <w:pPr>
        <w:spacing w:line="360" w:lineRule="auto"/>
        <w:ind w:left="991" w:leftChars="472"/>
        <w:rPr>
          <w:rFonts w:eastAsia="楷体_GB2312"/>
          <w:b/>
          <w:bCs/>
          <w:i/>
          <w:iCs/>
          <w:color w:val="FF0000"/>
          <w:kern w:val="0"/>
          <w:sz w:val="24"/>
        </w:rPr>
      </w:pPr>
      <w:bookmarkStart w:id="629" w:name="_Hlk221635458"/>
      <w:r>
        <w:rPr>
          <w:rFonts w:eastAsia="楷体_GB2312"/>
          <w:b/>
          <w:bCs/>
          <w:i/>
          <w:iCs/>
          <w:color w:val="FF0000"/>
          <w:kern w:val="0"/>
          <w:sz w:val="24"/>
        </w:rPr>
        <w:t>【注：接受受托机构委托代理信托事务的机构的职责可以结合项目实际情况补充或调整。】</w:t>
      </w:r>
      <w:bookmarkEnd w:id="629"/>
    </w:p>
    <w:p w14:paraId="085920CE">
      <w:pPr>
        <w:numPr>
          <w:ilvl w:val="0"/>
          <w:numId w:val="7"/>
        </w:numPr>
        <w:spacing w:line="360" w:lineRule="auto"/>
        <w:outlineLvl w:val="0"/>
        <w:rPr>
          <w:rFonts w:eastAsia="楷体_GB2312"/>
          <w:b/>
          <w:color w:val="000000"/>
          <w:sz w:val="24"/>
        </w:rPr>
      </w:pPr>
      <w:bookmarkStart w:id="630" w:name="_Toc457164802"/>
      <w:bookmarkEnd w:id="630"/>
      <w:bookmarkStart w:id="631" w:name="_Toc457164797"/>
      <w:bookmarkEnd w:id="631"/>
      <w:bookmarkStart w:id="632" w:name="_Toc457164791"/>
      <w:bookmarkEnd w:id="632"/>
      <w:bookmarkStart w:id="633" w:name="_Toc457164795"/>
      <w:bookmarkEnd w:id="633"/>
      <w:bookmarkStart w:id="634" w:name="_Toc457164798"/>
      <w:bookmarkEnd w:id="634"/>
      <w:bookmarkStart w:id="635" w:name="_Toc457164792"/>
      <w:bookmarkEnd w:id="635"/>
      <w:bookmarkStart w:id="636" w:name="_Toc457164796"/>
      <w:bookmarkEnd w:id="636"/>
      <w:bookmarkStart w:id="637" w:name="_Toc457164793"/>
      <w:bookmarkEnd w:id="637"/>
      <w:bookmarkStart w:id="638" w:name="_Toc457164789"/>
      <w:bookmarkEnd w:id="638"/>
      <w:bookmarkStart w:id="639" w:name="_Toc457164790"/>
      <w:bookmarkEnd w:id="639"/>
      <w:bookmarkStart w:id="640" w:name="_Toc457164799"/>
      <w:bookmarkEnd w:id="640"/>
      <w:bookmarkStart w:id="641" w:name="_Toc457164800"/>
      <w:bookmarkEnd w:id="641"/>
      <w:bookmarkStart w:id="642" w:name="_Toc219654344"/>
      <w:bookmarkEnd w:id="642"/>
      <w:bookmarkStart w:id="643" w:name="_Toc457164801"/>
      <w:bookmarkEnd w:id="643"/>
      <w:bookmarkStart w:id="644" w:name="_Toc457164788"/>
      <w:bookmarkEnd w:id="644"/>
      <w:bookmarkStart w:id="645" w:name="_Toc219654273"/>
      <w:bookmarkEnd w:id="645"/>
      <w:bookmarkStart w:id="646" w:name="_Toc457164794"/>
      <w:bookmarkEnd w:id="646"/>
      <w:bookmarkStart w:id="647" w:name="_Toc457164803"/>
      <w:bookmarkEnd w:id="647"/>
      <w:bookmarkStart w:id="648" w:name="_Toc225538161"/>
      <w:bookmarkStart w:id="649" w:name="_Toc219710680"/>
      <w:bookmarkStart w:id="650" w:name="_Ref221465006"/>
      <w:r>
        <w:rPr>
          <w:rFonts w:eastAsia="楷体_GB2312"/>
          <w:b/>
          <w:color w:val="000000"/>
          <w:sz w:val="24"/>
        </w:rPr>
        <w:t>清仓回购</w:t>
      </w:r>
      <w:bookmarkEnd w:id="648"/>
      <w:bookmarkEnd w:id="649"/>
      <w:bookmarkEnd w:id="650"/>
    </w:p>
    <w:p w14:paraId="5E4C42B8">
      <w:pPr>
        <w:numPr>
          <w:ilvl w:val="1"/>
          <w:numId w:val="7"/>
        </w:numPr>
        <w:spacing w:line="360" w:lineRule="auto"/>
        <w:rPr>
          <w:rFonts w:eastAsia="楷体_GB2312"/>
          <w:color w:val="000000"/>
          <w:sz w:val="24"/>
        </w:rPr>
      </w:pPr>
      <w:bookmarkStart w:id="651" w:name="_Ref445997178"/>
      <w:r>
        <w:rPr>
          <w:rFonts w:eastAsia="楷体_GB2312"/>
          <w:color w:val="000000"/>
          <w:sz w:val="24"/>
        </w:rPr>
        <w:t>“清仓回购”是“委托人”的一项选择权。在满足本款约定的条件的情况下，“委托人”可以按照“资产池”的公允价值进行“清仓回购”。“委托人”进行“清仓回购”应同时满足下列条件：</w:t>
      </w:r>
      <w:bookmarkEnd w:id="651"/>
    </w:p>
    <w:p w14:paraId="2EA87C6A">
      <w:pPr>
        <w:numPr>
          <w:ilvl w:val="0"/>
          <w:numId w:val="31"/>
        </w:numPr>
        <w:spacing w:line="360" w:lineRule="auto"/>
        <w:rPr>
          <w:rFonts w:eastAsia="楷体_GB2312"/>
          <w:color w:val="000000"/>
          <w:sz w:val="24"/>
        </w:rPr>
      </w:pPr>
      <w:r>
        <w:rPr>
          <w:rFonts w:eastAsia="楷体_GB2312"/>
          <w:color w:val="000000"/>
          <w:sz w:val="24"/>
        </w:rPr>
        <w:t>“资产池”的“未偿资产池余额”总和在“回购起算日”【</w:t>
      </w:r>
      <w:r>
        <w:rPr>
          <w:rFonts w:eastAsia="楷体_GB2312"/>
          <w:i/>
          <w:iCs/>
          <w:sz w:val="24"/>
        </w:rPr>
        <w:t>具体时点</w:t>
      </w:r>
      <w:r>
        <w:rPr>
          <w:rFonts w:eastAsia="楷体_GB2312"/>
          <w:color w:val="000000"/>
          <w:sz w:val="24"/>
        </w:rPr>
        <w:t>】降至“初始起算日资产池余额”的10%或以下，或“资产支持证券”的“未偿本金余额”总和在“委托人”向“受托人”发出《清仓回购通知书》当日或之前降至初始发行额的10%或以下；并且</w:t>
      </w:r>
    </w:p>
    <w:p w14:paraId="10B9B3BF">
      <w:pPr>
        <w:numPr>
          <w:ilvl w:val="0"/>
          <w:numId w:val="31"/>
        </w:numPr>
        <w:spacing w:line="360" w:lineRule="auto"/>
        <w:rPr>
          <w:rFonts w:eastAsia="楷体_GB2312"/>
          <w:color w:val="000000"/>
          <w:sz w:val="24"/>
        </w:rPr>
      </w:pPr>
      <w:r>
        <w:rPr>
          <w:rFonts w:eastAsia="楷体_GB2312"/>
          <w:color w:val="000000"/>
          <w:sz w:val="24"/>
        </w:rPr>
        <w:t>截至“回购起算日”【</w:t>
      </w:r>
      <w:r>
        <w:rPr>
          <w:rFonts w:eastAsia="楷体_GB2312"/>
          <w:i/>
          <w:iCs/>
          <w:sz w:val="24"/>
        </w:rPr>
        <w:t>具体时点</w:t>
      </w:r>
      <w:r>
        <w:rPr>
          <w:rFonts w:eastAsia="楷体_GB2312"/>
          <w:color w:val="000000"/>
          <w:sz w:val="24"/>
        </w:rPr>
        <w:t>】，剩余“资产池”的公允价值不少于以下A+B之和：A指在“委托人”发出《清仓回购通知书》所在“收款期间”届满后第一个“支付日”前一日全部“优先级资产支持证券”的“未偿本金余额”，及其已产生但未支付的“优先级资产支持证券”的利息总额、“信托”应承担的“税费”、“费用支出”、服务报酬（“贷款服务机构”的“超额奖励服务费”除外）和“处置费用”等“信托费用”之和。B</w:t>
      </w:r>
      <w:r>
        <w:rPr>
          <w:rFonts w:eastAsia="楷体_GB2312"/>
          <w:sz w:val="24"/>
        </w:rPr>
        <w:t>指以下(a)和(b)之和，其中(a)指</w:t>
      </w:r>
      <w:r>
        <w:rPr>
          <w:rFonts w:eastAsia="楷体_GB2312"/>
          <w:color w:val="000000"/>
          <w:sz w:val="24"/>
        </w:rPr>
        <w:t>在“委托人”发出《清仓回购通知书》所在“收款期间”届满后第一个“支付日”前一日全部“次级资产支持证券”的“未偿本金余额”；</w:t>
      </w:r>
      <w:r>
        <w:rPr>
          <w:rFonts w:eastAsia="楷体_GB2312"/>
          <w:sz w:val="24"/>
        </w:rPr>
        <w:t>(</w:t>
      </w:r>
      <w:r>
        <w:rPr>
          <w:rFonts w:eastAsia="楷体_GB2312"/>
          <w:color w:val="000000"/>
          <w:sz w:val="24"/>
        </w:rPr>
        <w:t>b</w:t>
      </w:r>
      <w:r>
        <w:rPr>
          <w:rFonts w:eastAsia="楷体_GB2312"/>
          <w:sz w:val="24"/>
        </w:rPr>
        <w:t>)</w:t>
      </w:r>
      <w:r>
        <w:rPr>
          <w:rFonts w:eastAsia="楷体_GB2312"/>
          <w:color w:val="000000"/>
          <w:sz w:val="24"/>
        </w:rPr>
        <w:t>指“次级资产支持证券”通过如下公式计算所得的收益减去截至“委托人”发出《清仓回购通知书》所在“收款期间”届满后第一个“支付日”前一日“次级资产支持证券”累计已获得分配的除本金以外的收益后的差额与零的孰高值：【】。</w:t>
      </w:r>
    </w:p>
    <w:p w14:paraId="3F315392">
      <w:pPr>
        <w:spacing w:line="360" w:lineRule="auto"/>
        <w:ind w:left="1412"/>
        <w:rPr>
          <w:rFonts w:eastAsia="楷体_GB2312"/>
          <w:color w:val="000000"/>
          <w:sz w:val="24"/>
        </w:rPr>
      </w:pPr>
      <w:r>
        <w:rPr>
          <w:rFonts w:eastAsia="楷体_GB2312"/>
          <w:sz w:val="24"/>
        </w:rPr>
        <w:t>因“清仓回购”而导致</w:t>
      </w:r>
      <w:r>
        <w:rPr>
          <w:rFonts w:eastAsia="楷体_GB2312"/>
          <w:color w:val="000000"/>
          <w:sz w:val="24"/>
        </w:rPr>
        <w:t>“信托”终止的，无需作为提前终止“信托”事项而召集“资产支持证券持有人大会”。</w:t>
      </w:r>
    </w:p>
    <w:p w14:paraId="625FCFD2">
      <w:pPr>
        <w:spacing w:line="360" w:lineRule="auto"/>
        <w:ind w:left="1412"/>
        <w:rPr>
          <w:rFonts w:eastAsia="楷体_GB2312"/>
          <w:color w:val="000000"/>
          <w:sz w:val="24"/>
        </w:rPr>
      </w:pPr>
      <w:r>
        <w:rPr>
          <w:rFonts w:eastAsia="楷体_GB2312"/>
          <w:i/>
          <w:iCs/>
          <w:color w:val="FF0000"/>
          <w:kern w:val="0"/>
          <w:sz w:val="24"/>
        </w:rPr>
        <w:t>【</w:t>
      </w:r>
      <w:r>
        <w:rPr>
          <w:rFonts w:eastAsia="楷体_GB2312"/>
          <w:b/>
          <w:bCs/>
          <w:i/>
          <w:iCs/>
          <w:color w:val="FF0000"/>
          <w:kern w:val="0"/>
          <w:sz w:val="24"/>
        </w:rPr>
        <w:t>注：</w:t>
      </w:r>
      <w:r>
        <w:rPr>
          <w:rFonts w:eastAsia="楷体_GB2312"/>
          <w:b/>
          <w:bCs/>
          <w:i/>
          <w:iCs/>
          <w:color w:val="FF0000"/>
          <w:sz w:val="24"/>
        </w:rPr>
        <w:t>清仓回购具体条件包括资产池公允价值的确定方式根据具体项目情况及监管要求选择适用或进行调整。</w:t>
      </w:r>
      <w:r>
        <w:rPr>
          <w:rFonts w:eastAsia="楷体_GB2312"/>
          <w:b/>
          <w:bCs/>
          <w:i/>
          <w:iCs/>
          <w:color w:val="FF0000"/>
          <w:kern w:val="0"/>
          <w:sz w:val="24"/>
        </w:rPr>
        <w:t>】</w:t>
      </w:r>
    </w:p>
    <w:p w14:paraId="10B48595">
      <w:pPr>
        <w:numPr>
          <w:ilvl w:val="1"/>
          <w:numId w:val="7"/>
        </w:numPr>
        <w:spacing w:line="360" w:lineRule="auto"/>
        <w:rPr>
          <w:rFonts w:eastAsia="楷体_GB2312"/>
          <w:color w:val="000000"/>
        </w:rPr>
      </w:pPr>
      <w:bookmarkStart w:id="652" w:name="_Hlk48079554"/>
      <w:bookmarkStart w:id="653" w:name="_Ref152777870"/>
      <w:r>
        <w:rPr>
          <w:rFonts w:eastAsia="楷体_GB2312"/>
          <w:i/>
          <w:iCs/>
          <w:color w:val="FF0000"/>
          <w:sz w:val="24"/>
        </w:rPr>
        <w:t>【</w:t>
      </w:r>
      <w:r>
        <w:rPr>
          <w:rFonts w:eastAsia="楷体_GB2312"/>
          <w:b/>
          <w:bCs/>
          <w:i/>
          <w:iCs/>
          <w:color w:val="FF0000"/>
          <w:sz w:val="24"/>
        </w:rPr>
        <w:t>适用于存在计算日调整机制的情形</w:t>
      </w:r>
      <w:bookmarkEnd w:id="652"/>
      <w:r>
        <w:rPr>
          <w:rFonts w:eastAsia="楷体_GB2312"/>
          <w:b/>
          <w:bCs/>
          <w:i/>
          <w:iCs/>
          <w:color w:val="FF0000"/>
          <w:kern w:val="0"/>
          <w:sz w:val="24"/>
        </w:rPr>
        <w:t>】</w:t>
      </w:r>
      <w:r>
        <w:rPr>
          <w:rFonts w:eastAsia="楷体_GB2312"/>
          <w:color w:val="000000"/>
          <w:sz w:val="24"/>
        </w:rPr>
        <w:t>在“优先级资产支持证券”的本金和利息全部偿付完毕后，如果“受托人”认为“贷款服务机构”按照“《服务合同》”发送的《关于提议进行计算日等日期调整的建议书》中预测的“资产池”的“</w:t>
      </w:r>
      <w:r>
        <w:rPr>
          <w:rStyle w:val="41"/>
          <w:rFonts w:eastAsia="楷体_GB2312"/>
          <w:color w:val="000000"/>
          <w:w w:val="0"/>
          <w:sz w:val="24"/>
          <w:u w:val="none"/>
        </w:rPr>
        <w:t>处置收入</w:t>
      </w:r>
      <w:r>
        <w:rPr>
          <w:rFonts w:eastAsia="楷体_GB2312"/>
          <w:color w:val="000000"/>
          <w:sz w:val="24"/>
        </w:rPr>
        <w:t>”按照本合同约定的现金流分配顺序分配后足以满足上述第</w:t>
      </w:r>
      <w:r>
        <w:rPr>
          <w:rFonts w:eastAsia="楷体_GB2312"/>
          <w:color w:val="000000"/>
          <w:sz w:val="24"/>
        </w:rPr>
        <w:fldChar w:fldCharType="begin"/>
      </w:r>
      <w:r>
        <w:rPr>
          <w:rFonts w:eastAsia="楷体_GB2312"/>
          <w:color w:val="000000"/>
          <w:sz w:val="24"/>
        </w:rPr>
        <w:instrText xml:space="preserve"> REF _Ref445997178 \r \h  \* MERGEFORMAT </w:instrText>
      </w:r>
      <w:r>
        <w:rPr>
          <w:rFonts w:eastAsia="楷体_GB2312"/>
          <w:color w:val="000000"/>
          <w:sz w:val="24"/>
        </w:rPr>
        <w:fldChar w:fldCharType="separate"/>
      </w:r>
      <w:r>
        <w:rPr>
          <w:rFonts w:eastAsia="楷体_GB2312"/>
          <w:color w:val="000000"/>
          <w:sz w:val="24"/>
        </w:rPr>
        <w:t>13.1</w:t>
      </w:r>
      <w:r>
        <w:rPr>
          <w:rFonts w:eastAsia="楷体_GB2312"/>
          <w:color w:val="000000"/>
          <w:sz w:val="24"/>
        </w:rPr>
        <w:fldChar w:fldCharType="end"/>
      </w:r>
      <w:r>
        <w:rPr>
          <w:rFonts w:eastAsia="楷体_GB2312"/>
          <w:color w:val="000000"/>
          <w:sz w:val="24"/>
        </w:rPr>
        <w:t>款约定的“清仓回购”条件(1)的，则“受托人”可与“贷款服务机构”按照“《服务合同》”的约定进行相关“计算日”、“处置收入转付日”、“支付日”和“计息日”等日期的调整工作。</w:t>
      </w:r>
      <w:bookmarkEnd w:id="653"/>
    </w:p>
    <w:p w14:paraId="787553E2">
      <w:pPr>
        <w:numPr>
          <w:ilvl w:val="1"/>
          <w:numId w:val="7"/>
        </w:numPr>
        <w:spacing w:line="360" w:lineRule="auto"/>
        <w:rPr>
          <w:rFonts w:eastAsia="楷体_GB2312"/>
          <w:color w:val="000000"/>
          <w:sz w:val="24"/>
        </w:rPr>
      </w:pPr>
      <w:r>
        <w:rPr>
          <w:rFonts w:eastAsia="楷体_GB2312"/>
          <w:color w:val="000000"/>
          <w:sz w:val="24"/>
        </w:rPr>
        <w:t>符合上述第</w:t>
      </w:r>
      <w:r>
        <w:rPr>
          <w:rFonts w:eastAsia="楷体_GB2312"/>
          <w:color w:val="000000"/>
          <w:sz w:val="24"/>
        </w:rPr>
        <w:fldChar w:fldCharType="begin"/>
      </w:r>
      <w:r>
        <w:rPr>
          <w:rFonts w:eastAsia="楷体_GB2312"/>
          <w:color w:val="000000"/>
          <w:sz w:val="24"/>
        </w:rPr>
        <w:instrText xml:space="preserve"> REF _Ref445997178 \r \h  \* MERGEFORMAT </w:instrText>
      </w:r>
      <w:r>
        <w:rPr>
          <w:rFonts w:eastAsia="楷体_GB2312"/>
          <w:color w:val="000000"/>
          <w:sz w:val="24"/>
        </w:rPr>
        <w:fldChar w:fldCharType="separate"/>
      </w:r>
      <w:r>
        <w:rPr>
          <w:rFonts w:eastAsia="楷体_GB2312"/>
          <w:color w:val="000000"/>
          <w:sz w:val="24"/>
        </w:rPr>
        <w:t>13.1</w:t>
      </w:r>
      <w:r>
        <w:rPr>
          <w:rFonts w:eastAsia="楷体_GB2312"/>
          <w:color w:val="000000"/>
          <w:sz w:val="24"/>
        </w:rPr>
        <w:fldChar w:fldCharType="end"/>
      </w:r>
      <w:r>
        <w:rPr>
          <w:rFonts w:eastAsia="楷体_GB2312"/>
          <w:color w:val="000000"/>
          <w:sz w:val="24"/>
        </w:rPr>
        <w:t>款“清仓回购”的全部条件且“委托人”决定进行“清仓回购”的，“委托人”应向“受托人”发出关于“清仓回购”“资产池”的书面通知（该通知应视为对“受托人”的要约邀请，清仓回购通知书格式见本合同</w:t>
      </w:r>
      <w:r>
        <w:rPr>
          <w:rFonts w:eastAsia="楷体_GB2312"/>
          <w:b/>
          <w:i/>
          <w:iCs/>
          <w:color w:val="000000"/>
          <w:sz w:val="24"/>
        </w:rPr>
        <w:t>附件六</w:t>
      </w:r>
      <w:r>
        <w:rPr>
          <w:rFonts w:eastAsia="楷体_GB2312"/>
          <w:color w:val="000000"/>
          <w:sz w:val="24"/>
        </w:rPr>
        <w:t>）。“清仓回购”的</w:t>
      </w:r>
      <w:r>
        <w:rPr>
          <w:rFonts w:eastAsia="楷体_GB2312"/>
          <w:bCs/>
          <w:color w:val="000000"/>
          <w:sz w:val="24"/>
        </w:rPr>
        <w:t>“</w:t>
      </w:r>
      <w:r>
        <w:rPr>
          <w:rFonts w:eastAsia="楷体_GB2312"/>
          <w:color w:val="000000"/>
          <w:sz w:val="24"/>
        </w:rPr>
        <w:t>回购起算日</w:t>
      </w:r>
      <w:r>
        <w:rPr>
          <w:rFonts w:eastAsia="楷体_GB2312"/>
          <w:bCs/>
          <w:color w:val="000000"/>
          <w:sz w:val="24"/>
        </w:rPr>
        <w:t>”</w:t>
      </w:r>
      <w:r>
        <w:rPr>
          <w:rFonts w:eastAsia="楷体_GB2312"/>
          <w:color w:val="000000"/>
          <w:sz w:val="24"/>
        </w:rPr>
        <w:t>为“委托人”向“受托人”发出《清仓回购通知书》的那个“收款期间”的第一日或“委托人”和“受托人”另行商定的日期。</w:t>
      </w:r>
    </w:p>
    <w:p w14:paraId="481FEC21">
      <w:pPr>
        <w:numPr>
          <w:ilvl w:val="1"/>
          <w:numId w:val="7"/>
        </w:numPr>
        <w:spacing w:line="360" w:lineRule="auto"/>
      </w:pPr>
      <w:r>
        <w:rPr>
          <w:rFonts w:eastAsia="楷体_GB2312"/>
          <w:color w:val="000000"/>
          <w:sz w:val="24"/>
        </w:rPr>
        <w:t>“受托人”应于收到《清仓回购通知书》后【】个“工作日”内（或“受托人”和“委托人”同意的更晚日期），以“资产池”的公允价值作为“清仓回购价格”，向“委托人”发出书面要约（清仓回购要约通知书格式见本合同</w:t>
      </w:r>
      <w:r>
        <w:rPr>
          <w:rFonts w:eastAsia="楷体_GB2312"/>
          <w:b/>
          <w:i/>
          <w:iCs/>
          <w:color w:val="000000"/>
          <w:sz w:val="24"/>
        </w:rPr>
        <w:t>附件七</w:t>
      </w:r>
      <w:r>
        <w:rPr>
          <w:rFonts w:eastAsia="楷体_GB2312"/>
          <w:color w:val="000000"/>
          <w:sz w:val="24"/>
        </w:rPr>
        <w:t>）。书面要约中应记载“清仓回购价格”，“受托人”届时</w:t>
      </w:r>
      <w:r>
        <w:rPr>
          <w:rFonts w:hint="eastAsia" w:eastAsia="楷体_GB2312"/>
          <w:color w:val="000000"/>
          <w:sz w:val="24"/>
        </w:rPr>
        <w:t>应当</w:t>
      </w:r>
      <w:r>
        <w:rPr>
          <w:rFonts w:eastAsia="楷体_GB2312"/>
          <w:color w:val="000000"/>
          <w:sz w:val="24"/>
        </w:rPr>
        <w:t>聘请评估机构、评级机构等</w:t>
      </w:r>
      <w:r>
        <w:rPr>
          <w:rFonts w:hint="eastAsia" w:eastAsia="楷体_GB2312"/>
          <w:color w:val="000000"/>
          <w:sz w:val="24"/>
        </w:rPr>
        <w:t>第三方专业机构</w:t>
      </w:r>
      <w:r>
        <w:rPr>
          <w:rFonts w:eastAsia="楷体_GB2312"/>
          <w:color w:val="000000"/>
          <w:sz w:val="24"/>
        </w:rPr>
        <w:t>对剩余“资产池”进行评估/估值，并以其出具的专业报告中的评估价值或债权价值作为“资产池”的公允价值和“清仓回购价格”，由此发生的费用由“信托财产”承担。“受托人”</w:t>
      </w:r>
      <w:r>
        <w:rPr>
          <w:rFonts w:hint="eastAsia" w:eastAsia="楷体_GB2312"/>
          <w:color w:val="000000"/>
          <w:sz w:val="24"/>
        </w:rPr>
        <w:t>应将前述拟定的</w:t>
      </w:r>
      <w:r>
        <w:rPr>
          <w:rFonts w:eastAsia="楷体_GB2312"/>
          <w:color w:val="000000"/>
          <w:sz w:val="24"/>
        </w:rPr>
        <w:t>“清仓回购价格”以书面形式通知全体“资产支持证券持有人”。</w:t>
      </w:r>
      <w:r>
        <w:rPr>
          <w:rFonts w:hint="eastAsia" w:eastAsia="楷体_GB2312"/>
          <w:color w:val="000000"/>
          <w:sz w:val="24"/>
        </w:rPr>
        <w:t>如</w:t>
      </w:r>
      <w:r>
        <w:rPr>
          <w:rFonts w:eastAsia="楷体_GB2312"/>
          <w:color w:val="000000"/>
          <w:sz w:val="24"/>
        </w:rPr>
        <w:t>“资产支持证券持有人”</w:t>
      </w:r>
      <w:r>
        <w:rPr>
          <w:rFonts w:hint="eastAsia" w:eastAsia="楷体_GB2312"/>
          <w:color w:val="000000"/>
          <w:sz w:val="24"/>
        </w:rPr>
        <w:t>对前述拟定的</w:t>
      </w:r>
      <w:r>
        <w:rPr>
          <w:rFonts w:eastAsia="楷体_GB2312"/>
          <w:color w:val="000000"/>
          <w:sz w:val="24"/>
        </w:rPr>
        <w:t>“清仓回购价格”</w:t>
      </w:r>
      <w:r>
        <w:rPr>
          <w:rFonts w:hint="eastAsia" w:eastAsia="楷体_GB2312"/>
          <w:color w:val="000000"/>
          <w:sz w:val="24"/>
        </w:rPr>
        <w:t>有异议，</w:t>
      </w:r>
      <w:r>
        <w:rPr>
          <w:rFonts w:eastAsia="楷体_GB2312"/>
          <w:color w:val="000000"/>
          <w:sz w:val="24"/>
        </w:rPr>
        <w:t>在收到“受托人”</w:t>
      </w:r>
      <w:r>
        <w:rPr>
          <w:rFonts w:hint="eastAsia" w:eastAsia="楷体_GB2312"/>
          <w:color w:val="000000"/>
          <w:sz w:val="24"/>
        </w:rPr>
        <w:t>书面</w:t>
      </w:r>
      <w:r>
        <w:rPr>
          <w:rFonts w:eastAsia="楷体_GB2312"/>
          <w:color w:val="000000"/>
          <w:sz w:val="24"/>
        </w:rPr>
        <w:t>通知后【】个“工作日”内，可以</w:t>
      </w:r>
      <w:r>
        <w:rPr>
          <w:rFonts w:hint="eastAsia" w:eastAsia="楷体_GB2312"/>
          <w:color w:val="000000"/>
          <w:sz w:val="24"/>
        </w:rPr>
        <w:t>根据</w:t>
      </w:r>
      <w:r>
        <w:rPr>
          <w:rFonts w:eastAsia="楷体_GB2312"/>
          <w:color w:val="000000"/>
          <w:w w:val="0"/>
          <w:sz w:val="24"/>
        </w:rPr>
        <w:t>“《信托合同》”</w:t>
      </w:r>
      <w:r>
        <w:rPr>
          <w:rFonts w:hint="eastAsia" w:eastAsia="楷体_GB2312"/>
          <w:color w:val="000000"/>
          <w:sz w:val="24"/>
        </w:rPr>
        <w:t>的相关约定</w:t>
      </w:r>
      <w:r>
        <w:rPr>
          <w:rFonts w:eastAsia="楷体_GB2312"/>
          <w:color w:val="000000"/>
          <w:sz w:val="24"/>
        </w:rPr>
        <w:t>请求“受托人”召集“资产支持证券持有人大会”</w:t>
      </w:r>
      <w:r>
        <w:rPr>
          <w:rFonts w:hint="eastAsia" w:eastAsia="楷体_GB2312"/>
          <w:color w:val="000000"/>
          <w:sz w:val="24"/>
        </w:rPr>
        <w:t>。</w:t>
      </w:r>
      <w:r>
        <w:rPr>
          <w:rFonts w:eastAsia="楷体_GB2312"/>
          <w:color w:val="000000"/>
          <w:sz w:val="24"/>
        </w:rPr>
        <w:t>书面要约中应约定在“委托人”承诺后，“受托人”将自“回购起算日”【</w:t>
      </w:r>
      <w:r>
        <w:rPr>
          <w:rFonts w:eastAsia="楷体_GB2312"/>
          <w:i/>
          <w:iCs/>
          <w:sz w:val="24"/>
        </w:rPr>
        <w:t>具体时点</w:t>
      </w:r>
      <w:r>
        <w:rPr>
          <w:rFonts w:eastAsia="楷体_GB2312"/>
          <w:color w:val="000000"/>
          <w:sz w:val="24"/>
        </w:rPr>
        <w:t>】起“信托”项下全部剩余“资产池”出售给“委托人”。</w:t>
      </w:r>
    </w:p>
    <w:p w14:paraId="0BB27E8A">
      <w:pPr>
        <w:tabs>
          <w:tab w:val="left" w:pos="425"/>
          <w:tab w:val="left" w:pos="992"/>
        </w:tabs>
        <w:spacing w:line="360" w:lineRule="auto"/>
        <w:ind w:left="992"/>
        <w:rPr>
          <w:rFonts w:eastAsia="楷体_GB2312"/>
          <w:b/>
          <w:bCs/>
          <w:i/>
          <w:iCs/>
          <w:color w:val="FF0000"/>
          <w:sz w:val="24"/>
        </w:rPr>
      </w:pPr>
      <w:r>
        <w:rPr>
          <w:rFonts w:eastAsia="楷体_GB2312"/>
          <w:i/>
          <w:iCs/>
          <w:color w:val="FF0000"/>
          <w:kern w:val="0"/>
          <w:sz w:val="24"/>
        </w:rPr>
        <w:t>【</w:t>
      </w:r>
      <w:r>
        <w:rPr>
          <w:rFonts w:eastAsia="楷体_GB2312"/>
          <w:b/>
          <w:bCs/>
          <w:i/>
          <w:iCs/>
          <w:color w:val="FF0000"/>
          <w:kern w:val="0"/>
          <w:sz w:val="24"/>
        </w:rPr>
        <w:t>注：</w:t>
      </w:r>
      <w:r>
        <w:rPr>
          <w:rFonts w:hint="eastAsia" w:eastAsia="楷体_GB2312"/>
          <w:b/>
          <w:bCs/>
          <w:i/>
          <w:iCs/>
          <w:color w:val="FF0000"/>
          <w:kern w:val="0"/>
          <w:sz w:val="24"/>
        </w:rPr>
        <w:t>（1）</w:t>
      </w:r>
      <w:r>
        <w:rPr>
          <w:rFonts w:hint="eastAsia" w:eastAsia="楷体_GB2312"/>
          <w:b/>
          <w:bCs/>
          <w:i/>
          <w:iCs/>
          <w:color w:val="FF0000"/>
          <w:sz w:val="24"/>
        </w:rPr>
        <w:t>鼓励按上述方式确定并执行清仓回购价格。（2）清仓回购价格应注意参考公允价值予以确定</w:t>
      </w:r>
      <w:r>
        <w:rPr>
          <w:rFonts w:eastAsia="楷体_GB2312"/>
          <w:b/>
          <w:bCs/>
          <w:i/>
          <w:iCs/>
          <w:color w:val="FF0000"/>
          <w:sz w:val="24"/>
        </w:rPr>
        <w:t>。</w:t>
      </w:r>
      <w:r>
        <w:rPr>
          <w:rFonts w:hint="eastAsia" w:eastAsia="楷体_GB2312"/>
          <w:b/>
          <w:bCs/>
          <w:i/>
          <w:iCs/>
          <w:color w:val="FF0000"/>
          <w:sz w:val="24"/>
        </w:rPr>
        <w:t>如</w:t>
      </w:r>
      <w:r>
        <w:rPr>
          <w:rFonts w:eastAsia="楷体_GB2312"/>
          <w:b/>
          <w:bCs/>
          <w:i/>
          <w:iCs/>
          <w:color w:val="FF0000"/>
          <w:sz w:val="24"/>
        </w:rPr>
        <w:t>资产支持证券持有人</w:t>
      </w:r>
      <w:r>
        <w:rPr>
          <w:rFonts w:hint="eastAsia" w:eastAsia="楷体_GB2312"/>
          <w:b/>
          <w:bCs/>
          <w:i/>
          <w:iCs/>
          <w:color w:val="FF0000"/>
          <w:sz w:val="24"/>
        </w:rPr>
        <w:t>有异议，在</w:t>
      </w:r>
      <w:r>
        <w:rPr>
          <w:rFonts w:eastAsia="楷体_GB2312"/>
          <w:b/>
          <w:bCs/>
          <w:i/>
          <w:iCs/>
          <w:color w:val="FF0000"/>
          <w:sz w:val="24"/>
        </w:rPr>
        <w:t>收到受托人</w:t>
      </w:r>
      <w:r>
        <w:rPr>
          <w:rFonts w:hint="eastAsia" w:eastAsia="楷体_GB2312"/>
          <w:b/>
          <w:bCs/>
          <w:i/>
          <w:iCs/>
          <w:color w:val="FF0000"/>
          <w:sz w:val="24"/>
        </w:rPr>
        <w:t>书面</w:t>
      </w:r>
      <w:r>
        <w:rPr>
          <w:rFonts w:eastAsia="楷体_GB2312"/>
          <w:b/>
          <w:bCs/>
          <w:i/>
          <w:iCs/>
          <w:color w:val="FF0000"/>
          <w:sz w:val="24"/>
        </w:rPr>
        <w:t>通知后，可以</w:t>
      </w:r>
      <w:r>
        <w:rPr>
          <w:rFonts w:hint="eastAsia" w:eastAsia="楷体_GB2312"/>
          <w:b/>
          <w:bCs/>
          <w:i/>
          <w:iCs/>
          <w:color w:val="FF0000"/>
          <w:sz w:val="24"/>
        </w:rPr>
        <w:t>在约定时间内，根据</w:t>
      </w:r>
      <w:r>
        <w:rPr>
          <w:rFonts w:eastAsia="楷体_GB2312"/>
          <w:b/>
          <w:bCs/>
          <w:i/>
          <w:iCs/>
          <w:color w:val="FF0000"/>
          <w:sz w:val="24"/>
        </w:rPr>
        <w:t>《信托合同》</w:t>
      </w:r>
      <w:r>
        <w:rPr>
          <w:rFonts w:hint="eastAsia" w:eastAsia="楷体_GB2312"/>
          <w:b/>
          <w:bCs/>
          <w:i/>
          <w:iCs/>
          <w:color w:val="FF0000"/>
          <w:sz w:val="24"/>
        </w:rPr>
        <w:t>第19.2.2款</w:t>
      </w:r>
      <w:r>
        <w:rPr>
          <w:rFonts w:eastAsia="楷体_GB2312"/>
          <w:b/>
          <w:bCs/>
          <w:i/>
          <w:iCs/>
          <w:color w:val="FF0000"/>
          <w:sz w:val="24"/>
        </w:rPr>
        <w:t>请求受托人召集资产支持证券持有人大会</w:t>
      </w:r>
      <w:r>
        <w:rPr>
          <w:rFonts w:hint="eastAsia" w:eastAsia="楷体_GB2312"/>
          <w:b/>
          <w:bCs/>
          <w:i/>
          <w:iCs/>
          <w:color w:val="FF0000"/>
          <w:sz w:val="24"/>
        </w:rPr>
        <w:t>，届时将</w:t>
      </w:r>
      <w:r>
        <w:rPr>
          <w:rFonts w:eastAsia="楷体_GB2312"/>
          <w:b/>
          <w:bCs/>
          <w:i/>
          <w:iCs/>
          <w:color w:val="FF0000"/>
          <w:sz w:val="24"/>
        </w:rPr>
        <w:t>由资产支持证券持有人大会就清仓回购价格作出决议，并</w:t>
      </w:r>
      <w:r>
        <w:rPr>
          <w:rFonts w:hint="eastAsia" w:eastAsia="楷体_GB2312"/>
          <w:b/>
          <w:bCs/>
          <w:i/>
          <w:iCs/>
          <w:color w:val="FF0000"/>
          <w:sz w:val="24"/>
        </w:rPr>
        <w:t>将</w:t>
      </w:r>
      <w:r>
        <w:rPr>
          <w:rFonts w:eastAsia="楷体_GB2312"/>
          <w:b/>
          <w:bCs/>
          <w:i/>
          <w:iCs/>
          <w:color w:val="FF0000"/>
          <w:sz w:val="24"/>
        </w:rPr>
        <w:t>表决结果</w:t>
      </w:r>
      <w:r>
        <w:rPr>
          <w:rFonts w:hint="eastAsia" w:eastAsia="楷体_GB2312"/>
          <w:b/>
          <w:bCs/>
          <w:i/>
          <w:iCs/>
          <w:color w:val="FF0000"/>
          <w:sz w:val="24"/>
        </w:rPr>
        <w:t>作为最终的</w:t>
      </w:r>
      <w:r>
        <w:rPr>
          <w:rFonts w:eastAsia="楷体_GB2312"/>
          <w:b/>
          <w:bCs/>
          <w:i/>
          <w:iCs/>
          <w:color w:val="FF0000"/>
          <w:sz w:val="24"/>
        </w:rPr>
        <w:t>清仓回购价格</w:t>
      </w:r>
      <w:r>
        <w:rPr>
          <w:rFonts w:hint="eastAsia" w:eastAsia="楷体_GB2312"/>
          <w:b/>
          <w:bCs/>
          <w:i/>
          <w:iCs/>
          <w:color w:val="FF0000"/>
          <w:sz w:val="24"/>
        </w:rPr>
        <w:t>。</w:t>
      </w:r>
      <w:r>
        <w:rPr>
          <w:rFonts w:eastAsia="楷体_GB2312"/>
          <w:b/>
          <w:bCs/>
          <w:i/>
          <w:iCs/>
          <w:color w:val="FF0000"/>
          <w:sz w:val="24"/>
        </w:rPr>
        <w:t>】</w:t>
      </w:r>
    </w:p>
    <w:p w14:paraId="59AD31B9">
      <w:pPr>
        <w:numPr>
          <w:ilvl w:val="1"/>
          <w:numId w:val="7"/>
        </w:numPr>
        <w:spacing w:line="360" w:lineRule="auto"/>
        <w:rPr>
          <w:rFonts w:eastAsia="楷体_GB2312"/>
          <w:color w:val="000000"/>
          <w:sz w:val="24"/>
        </w:rPr>
      </w:pPr>
      <w:bookmarkStart w:id="654" w:name="_Ref47878601"/>
      <w:r>
        <w:rPr>
          <w:rFonts w:eastAsia="楷体_GB2312"/>
          <w:color w:val="000000"/>
          <w:sz w:val="24"/>
        </w:rPr>
        <w:t>如果“委托人”同意接受“受托人”发出的上述要约，则应在收到该要约通知后【】个“工作日”内，向“受托人”书面发出不可撤销的承诺通知（清仓回购承诺通知书格式见本合同</w:t>
      </w:r>
      <w:r>
        <w:rPr>
          <w:rFonts w:eastAsia="楷体_GB2312"/>
          <w:b/>
          <w:i/>
          <w:iCs/>
          <w:color w:val="000000"/>
          <w:sz w:val="24"/>
        </w:rPr>
        <w:t>附件八</w:t>
      </w:r>
      <w:r>
        <w:rPr>
          <w:rFonts w:eastAsia="楷体_GB2312"/>
          <w:color w:val="000000"/>
          <w:sz w:val="24"/>
        </w:rPr>
        <w:t>）。“委托人”应于“受托人”发出的书面要约载明的期限内将相当于“清仓回购价格”的资金扣除本合同第</w:t>
      </w:r>
      <w:r>
        <w:rPr>
          <w:rFonts w:eastAsia="楷体_GB2312"/>
        </w:rPr>
        <w:fldChar w:fldCharType="begin"/>
      </w:r>
      <w:r>
        <w:rPr>
          <w:rFonts w:eastAsia="楷体_GB2312"/>
        </w:rPr>
        <w:instrText xml:space="preserve"> REF _Ref342416683 \r \h  \* MERGEFORMAT </w:instrText>
      </w:r>
      <w:r>
        <w:rPr>
          <w:rFonts w:eastAsia="楷体_GB2312"/>
        </w:rPr>
        <w:fldChar w:fldCharType="separate"/>
      </w:r>
      <w:r>
        <w:rPr>
          <w:rFonts w:eastAsia="楷体_GB2312"/>
          <w:color w:val="000000"/>
          <w:sz w:val="24"/>
        </w:rPr>
        <w:t>13.6</w:t>
      </w:r>
      <w:r>
        <w:rPr>
          <w:rFonts w:eastAsia="楷体_GB2312"/>
        </w:rPr>
        <w:fldChar w:fldCharType="end"/>
      </w:r>
      <w:r>
        <w:rPr>
          <w:rFonts w:eastAsia="楷体_GB2312"/>
          <w:color w:val="000000"/>
          <w:sz w:val="24"/>
        </w:rPr>
        <w:t>款“委托人”可扣除的款项后的资金一次性支付至“信托账户”。</w:t>
      </w:r>
      <w:bookmarkEnd w:id="654"/>
    </w:p>
    <w:p w14:paraId="64596BE2">
      <w:pPr>
        <w:numPr>
          <w:ilvl w:val="1"/>
          <w:numId w:val="7"/>
        </w:numPr>
        <w:spacing w:line="360" w:lineRule="auto"/>
        <w:rPr>
          <w:rFonts w:eastAsia="楷体_GB2312"/>
          <w:color w:val="000000"/>
          <w:sz w:val="24"/>
        </w:rPr>
      </w:pPr>
      <w:bookmarkStart w:id="655" w:name="_Ref342416683"/>
      <w:r>
        <w:rPr>
          <w:rFonts w:eastAsia="楷体_GB2312"/>
          <w:color w:val="000000"/>
          <w:sz w:val="24"/>
        </w:rPr>
        <w:t>自“信托账户”收到“委托人”支付的相当于“清仓回购价格”的资金之日（如“清仓回购价格”为零，则“受托人”收到“委托人”发送的清仓回购承诺通知书之日视为满足该条件），“受托人”自“回购起算日”（【含/不含】该日）起对剩余“资产池”和相关“账户记录”的（现时的和未来的、实际的和或有的）权利、权益、利益和收益全部自动转让给“委托人”；自“回购起算日”（【含/不含】该日）起“资产池”所产生的全部“处置收入”为“委托人”所有，如果“贷款服务机构”已经将发出《清仓回购通知书》所在“收款期间”产生的“处置收入”转付给“受托人”的，“委托人”可以从其支付的“清仓回购价款”扣除该等“处置收入”，如“贷款服务机构”尚未将发出《清仓回购通知书》所在“收款期间”产生的“处置收入”转付给“受托人”的，“受托人”可指示“贷款服务机构”向“委托人”交付该等“处置收入”。此外，在由“委托人”承担费用的前提下，“受托人”应协助“委托人”办理其合理地认为必要的全部变更登记和通知手续（如有）。</w:t>
      </w:r>
      <w:bookmarkEnd w:id="655"/>
    </w:p>
    <w:p w14:paraId="558CA999">
      <w:pPr>
        <w:numPr>
          <w:ilvl w:val="1"/>
          <w:numId w:val="7"/>
        </w:numPr>
        <w:spacing w:line="360" w:lineRule="auto"/>
        <w:rPr>
          <w:rFonts w:eastAsia="楷体_GB2312"/>
          <w:color w:val="000000"/>
          <w:sz w:val="24"/>
        </w:rPr>
      </w:pPr>
      <w:r>
        <w:rPr>
          <w:rFonts w:eastAsia="楷体_GB2312"/>
          <w:color w:val="000000"/>
          <w:sz w:val="24"/>
        </w:rPr>
        <w:t>本“信托”于“信托账户”收到“委托人”支付的相当于“清仓回购价格”的资金之日终止，无需召开“资产支持证券持有人大会”。“贷款服务机构”应于“信托”终止后【】个“工作日”内将“回购起算日”（【含/不含】该日）前“资产池”所产生但尚未转付的全部“处置收入”（如有）转付至“信托账户”。</w:t>
      </w:r>
    </w:p>
    <w:p w14:paraId="10532D06">
      <w:pPr>
        <w:spacing w:line="360" w:lineRule="auto"/>
        <w:ind w:left="991" w:leftChars="472"/>
        <w:rPr>
          <w:rFonts w:eastAsia="楷体_GB2312"/>
          <w:b/>
          <w:bCs/>
          <w:i/>
          <w:iCs/>
          <w:color w:val="FF0000"/>
          <w:kern w:val="0"/>
          <w:sz w:val="24"/>
        </w:rPr>
      </w:pPr>
      <w:r>
        <w:rPr>
          <w:rFonts w:eastAsia="楷体_GB2312"/>
          <w:b/>
          <w:bCs/>
          <w:i/>
          <w:iCs/>
          <w:color w:val="FF0000"/>
          <w:kern w:val="0"/>
          <w:sz w:val="24"/>
        </w:rPr>
        <w:t>【注：清仓回购各程序的时间要求、清仓回购价格以及回购起算日的设定等，均可根据具体项目需要调整。】</w:t>
      </w:r>
    </w:p>
    <w:bookmarkEnd w:id="621"/>
    <w:p w14:paraId="61F2FBDF">
      <w:pPr>
        <w:numPr>
          <w:ilvl w:val="0"/>
          <w:numId w:val="7"/>
        </w:numPr>
        <w:spacing w:line="360" w:lineRule="auto"/>
        <w:outlineLvl w:val="0"/>
        <w:rPr>
          <w:rFonts w:eastAsia="楷体_GB2312"/>
          <w:b/>
          <w:color w:val="000000"/>
          <w:sz w:val="24"/>
        </w:rPr>
      </w:pPr>
      <w:bookmarkStart w:id="656" w:name="_Toc219654346"/>
      <w:bookmarkEnd w:id="656"/>
      <w:bookmarkStart w:id="657" w:name="_Toc219654275"/>
      <w:bookmarkEnd w:id="657"/>
      <w:bookmarkStart w:id="658" w:name="_Toc219710681"/>
      <w:bookmarkStart w:id="659" w:name="_Toc225538162"/>
      <w:r>
        <w:rPr>
          <w:rFonts w:eastAsia="楷体_GB2312"/>
          <w:b/>
          <w:color w:val="000000"/>
          <w:sz w:val="24"/>
        </w:rPr>
        <w:t>信托的终止与清算</w:t>
      </w:r>
      <w:bookmarkEnd w:id="658"/>
      <w:bookmarkEnd w:id="659"/>
    </w:p>
    <w:p w14:paraId="41B578CC">
      <w:pPr>
        <w:numPr>
          <w:ilvl w:val="1"/>
          <w:numId w:val="7"/>
        </w:numPr>
        <w:spacing w:line="360" w:lineRule="auto"/>
        <w:rPr>
          <w:rFonts w:eastAsia="楷体_GB2312"/>
          <w:b/>
          <w:color w:val="000000"/>
          <w:sz w:val="24"/>
        </w:rPr>
      </w:pPr>
      <w:bookmarkStart w:id="660" w:name="_Ref152752021"/>
      <w:r>
        <w:rPr>
          <w:rFonts w:eastAsia="楷体_GB2312"/>
          <w:b/>
          <w:color w:val="000000"/>
          <w:sz w:val="24"/>
        </w:rPr>
        <w:t>信托的终止</w:t>
      </w:r>
      <w:bookmarkEnd w:id="660"/>
    </w:p>
    <w:p w14:paraId="69E7FB54">
      <w:pPr>
        <w:spacing w:line="360" w:lineRule="auto"/>
        <w:ind w:left="992"/>
        <w:rPr>
          <w:rFonts w:eastAsia="楷体_GB2312"/>
          <w:b/>
          <w:bCs/>
          <w:color w:val="000000"/>
        </w:rPr>
      </w:pPr>
      <w:r>
        <w:rPr>
          <w:rFonts w:eastAsia="楷体_GB2312"/>
          <w:color w:val="000000"/>
          <w:sz w:val="24"/>
        </w:rPr>
        <w:t>“信托”的“信托期限”自“信托生效日”（含该日）起至“信托终止日”（不含该日）止，“信托”于“信托终止日”终止。“信托终止日”系指下列任一情形发生之日：</w:t>
      </w:r>
    </w:p>
    <w:p w14:paraId="03A1C1D3">
      <w:pPr>
        <w:pStyle w:val="142"/>
        <w:widowControl w:val="0"/>
        <w:numPr>
          <w:ilvl w:val="0"/>
          <w:numId w:val="32"/>
        </w:numPr>
        <w:spacing w:line="360" w:lineRule="auto"/>
        <w:ind w:left="1418" w:hanging="425" w:firstLineChars="0"/>
        <w:jc w:val="both"/>
        <w:rPr>
          <w:rFonts w:eastAsia="楷体_GB2312"/>
          <w:lang w:eastAsia="zh-CN"/>
        </w:rPr>
      </w:pPr>
      <w:r>
        <w:rPr>
          <w:rFonts w:eastAsia="楷体_GB2312"/>
          <w:lang w:eastAsia="zh-CN"/>
        </w:rPr>
        <w:t>“信托”之信托目的已经无法实现；</w:t>
      </w:r>
    </w:p>
    <w:p w14:paraId="6F957C3D">
      <w:pPr>
        <w:pStyle w:val="142"/>
        <w:widowControl w:val="0"/>
        <w:numPr>
          <w:ilvl w:val="0"/>
          <w:numId w:val="32"/>
        </w:numPr>
        <w:spacing w:line="360" w:lineRule="auto"/>
        <w:ind w:left="1418" w:hanging="425" w:firstLineChars="0"/>
        <w:jc w:val="both"/>
        <w:rPr>
          <w:rFonts w:eastAsia="楷体_GB2312"/>
          <w:lang w:eastAsia="zh-CN"/>
        </w:rPr>
      </w:pPr>
      <w:r>
        <w:rPr>
          <w:rFonts w:eastAsia="楷体_GB2312"/>
          <w:lang w:eastAsia="zh-CN"/>
        </w:rPr>
        <w:t>“信托”被法院或仲裁机构依法撤销、被认定为无效或被判决终止；</w:t>
      </w:r>
    </w:p>
    <w:p w14:paraId="54CC2007">
      <w:pPr>
        <w:pStyle w:val="142"/>
        <w:widowControl w:val="0"/>
        <w:numPr>
          <w:ilvl w:val="0"/>
          <w:numId w:val="32"/>
        </w:numPr>
        <w:spacing w:line="360" w:lineRule="auto"/>
        <w:ind w:left="1418" w:hanging="425" w:firstLineChars="0"/>
        <w:jc w:val="both"/>
        <w:rPr>
          <w:rFonts w:eastAsia="楷体_GB2312"/>
          <w:lang w:eastAsia="zh-CN"/>
        </w:rPr>
      </w:pPr>
      <w:r>
        <w:rPr>
          <w:rFonts w:eastAsia="楷体_GB2312"/>
          <w:lang w:eastAsia="zh-CN"/>
        </w:rPr>
        <w:t>相关“监管部门”依法命令终止“信托”；</w:t>
      </w:r>
    </w:p>
    <w:p w14:paraId="35F58DBA">
      <w:pPr>
        <w:pStyle w:val="142"/>
        <w:widowControl w:val="0"/>
        <w:numPr>
          <w:ilvl w:val="0"/>
          <w:numId w:val="32"/>
        </w:numPr>
        <w:spacing w:line="360" w:lineRule="auto"/>
        <w:ind w:left="1418" w:hanging="425" w:firstLineChars="0"/>
        <w:jc w:val="both"/>
        <w:rPr>
          <w:rFonts w:eastAsia="楷体_GB2312"/>
          <w:lang w:eastAsia="zh-CN"/>
        </w:rPr>
      </w:pPr>
      <w:r>
        <w:rPr>
          <w:rFonts w:eastAsia="楷体_GB2312"/>
          <w:lang w:eastAsia="zh-CN"/>
        </w:rPr>
        <w:t>“资产支持证券持有人大会”决议提前终止“信托”；</w:t>
      </w:r>
    </w:p>
    <w:p w14:paraId="284AE29A">
      <w:pPr>
        <w:pStyle w:val="142"/>
        <w:widowControl w:val="0"/>
        <w:numPr>
          <w:ilvl w:val="0"/>
          <w:numId w:val="32"/>
        </w:numPr>
        <w:spacing w:line="360" w:lineRule="auto"/>
        <w:ind w:left="1418" w:hanging="425" w:firstLineChars="0"/>
        <w:jc w:val="both"/>
        <w:rPr>
          <w:rFonts w:eastAsia="楷体_GB2312"/>
        </w:rPr>
      </w:pPr>
      <w:r>
        <w:rPr>
          <w:rFonts w:eastAsia="楷体_GB2312"/>
          <w:lang w:eastAsia="zh-CN"/>
        </w:rPr>
        <w:t>“法定到期日”届至；</w:t>
      </w:r>
    </w:p>
    <w:p w14:paraId="5BE3F31A">
      <w:pPr>
        <w:pStyle w:val="142"/>
        <w:widowControl w:val="0"/>
        <w:numPr>
          <w:ilvl w:val="0"/>
          <w:numId w:val="32"/>
        </w:numPr>
        <w:spacing w:line="360" w:lineRule="auto"/>
        <w:ind w:left="1418" w:hanging="425" w:firstLineChars="0"/>
        <w:jc w:val="both"/>
        <w:rPr>
          <w:rFonts w:eastAsia="楷体_GB2312"/>
          <w:lang w:eastAsia="zh-CN"/>
        </w:rPr>
      </w:pPr>
      <w:bookmarkStart w:id="661" w:name="_Ref152752033"/>
      <w:r>
        <w:rPr>
          <w:rFonts w:eastAsia="楷体_GB2312"/>
          <w:lang w:eastAsia="zh-CN"/>
        </w:rPr>
        <w:t>全部“优先级资产支持证券”本息全部偿付完毕后，如届时“贷款服务机构”同时为“次级资产支持证券持有人”，全部“次级资产支持证券持有人”书面一致同意终止“信托”且就剩余全部“信托财产”的原状分配或整体处置达成书面一致意见；</w:t>
      </w:r>
      <w:bookmarkEnd w:id="661"/>
    </w:p>
    <w:p w14:paraId="52F21F62">
      <w:pPr>
        <w:pStyle w:val="142"/>
        <w:widowControl w:val="0"/>
        <w:numPr>
          <w:ilvl w:val="0"/>
          <w:numId w:val="32"/>
        </w:numPr>
        <w:spacing w:line="360" w:lineRule="auto"/>
        <w:ind w:left="1418" w:hanging="425" w:firstLineChars="0"/>
        <w:jc w:val="both"/>
        <w:rPr>
          <w:rFonts w:eastAsia="楷体_GB2312"/>
          <w:lang w:eastAsia="zh-CN"/>
        </w:rPr>
      </w:pPr>
      <w:r>
        <w:rPr>
          <w:rFonts w:eastAsia="楷体_GB2312"/>
          <w:lang w:eastAsia="zh-CN"/>
        </w:rPr>
        <w:t>“信托财产”全部变现完毕（含完成“清仓回购”）或全部已被核销。</w:t>
      </w:r>
    </w:p>
    <w:p w14:paraId="2DAAE4DE">
      <w:pPr>
        <w:pStyle w:val="142"/>
        <w:widowControl w:val="0"/>
        <w:spacing w:line="360" w:lineRule="auto"/>
        <w:ind w:left="420" w:leftChars="200" w:firstLine="964" w:firstLineChars="400"/>
        <w:jc w:val="both"/>
        <w:rPr>
          <w:rFonts w:eastAsia="楷体_GB2312"/>
          <w:b/>
          <w:bCs/>
          <w:i/>
          <w:iCs/>
          <w:color w:val="FF0000"/>
          <w:lang w:eastAsia="zh-CN"/>
        </w:rPr>
      </w:pPr>
      <w:r>
        <w:rPr>
          <w:rFonts w:eastAsia="楷体_GB2312"/>
          <w:b/>
          <w:bCs/>
          <w:i/>
          <w:iCs/>
          <w:color w:val="FF0000"/>
          <w:lang w:eastAsia="zh-CN"/>
        </w:rPr>
        <w:t>【注：信托终止的情形可根据具体项目情况进行调整或增减。】</w:t>
      </w:r>
    </w:p>
    <w:p w14:paraId="101AF291">
      <w:pPr>
        <w:numPr>
          <w:ilvl w:val="1"/>
          <w:numId w:val="7"/>
        </w:numPr>
        <w:spacing w:line="360" w:lineRule="auto"/>
        <w:rPr>
          <w:rFonts w:eastAsia="楷体_GB2312"/>
          <w:b/>
          <w:color w:val="000000"/>
          <w:sz w:val="24"/>
        </w:rPr>
      </w:pPr>
      <w:bookmarkStart w:id="662" w:name="_Ref201647271"/>
      <w:bookmarkStart w:id="663" w:name="_Ref48079328"/>
      <w:r>
        <w:rPr>
          <w:rFonts w:eastAsia="楷体_GB2312"/>
          <w:b/>
          <w:color w:val="000000"/>
          <w:sz w:val="24"/>
        </w:rPr>
        <w:t>信托的清算</w:t>
      </w:r>
      <w:bookmarkEnd w:id="662"/>
      <w:bookmarkEnd w:id="663"/>
    </w:p>
    <w:p w14:paraId="74D856F3">
      <w:pPr>
        <w:spacing w:line="360" w:lineRule="auto"/>
        <w:ind w:left="1050" w:leftChars="500"/>
        <w:rPr>
          <w:rFonts w:eastAsia="楷体_GB2312"/>
          <w:color w:val="000000"/>
          <w:sz w:val="24"/>
        </w:rPr>
      </w:pPr>
      <w:bookmarkStart w:id="664" w:name="_Hlk61514858"/>
      <w:r>
        <w:rPr>
          <w:rFonts w:eastAsia="楷体_GB2312"/>
          <w:b/>
          <w:bCs/>
          <w:i/>
          <w:iCs/>
          <w:color w:val="FF0000"/>
          <w:sz w:val="24"/>
        </w:rPr>
        <w:t>【注：清算程序和清算规则，可在法律允许范围内根据具体项目各方协商结果进行调整。】</w:t>
      </w:r>
      <w:bookmarkEnd w:id="664"/>
    </w:p>
    <w:p w14:paraId="2A8CA3E9">
      <w:pPr>
        <w:numPr>
          <w:ilvl w:val="2"/>
          <w:numId w:val="7"/>
        </w:numPr>
        <w:spacing w:line="360" w:lineRule="auto"/>
        <w:ind w:left="1701" w:hanging="708"/>
        <w:rPr>
          <w:rFonts w:eastAsia="楷体_GB2312"/>
          <w:color w:val="000000"/>
          <w:sz w:val="24"/>
        </w:rPr>
      </w:pPr>
      <w:bookmarkStart w:id="665" w:name="_Ref445998008"/>
      <w:bookmarkStart w:id="666" w:name="_Hlk61514555"/>
      <w:r>
        <w:rPr>
          <w:rFonts w:eastAsia="楷体_GB2312"/>
          <w:color w:val="000000"/>
          <w:sz w:val="24"/>
        </w:rPr>
        <w:t>“受托人”应于“信托终止日”后及时进行“信托财产”的清算（包括“信托财产”的清理、处置及分配）：(1)清算“合格投资”；(2)按本合同第</w:t>
      </w:r>
      <w:r>
        <w:rPr>
          <w:rFonts w:eastAsia="楷体_GB2312"/>
          <w:color w:val="000000"/>
          <w:sz w:val="24"/>
        </w:rPr>
        <w:fldChar w:fldCharType="begin"/>
      </w:r>
      <w:r>
        <w:rPr>
          <w:rFonts w:eastAsia="楷体_GB2312"/>
          <w:color w:val="000000"/>
          <w:sz w:val="24"/>
        </w:rPr>
        <w:instrText xml:space="preserve"> REF _Ref48056423 \r \h  \* MERGEFORMAT </w:instrText>
      </w:r>
      <w:r>
        <w:rPr>
          <w:rFonts w:eastAsia="楷体_GB2312"/>
          <w:color w:val="000000"/>
          <w:sz w:val="24"/>
        </w:rPr>
        <w:fldChar w:fldCharType="separate"/>
      </w:r>
      <w:r>
        <w:rPr>
          <w:rFonts w:eastAsia="楷体_GB2312"/>
          <w:color w:val="000000"/>
          <w:sz w:val="24"/>
        </w:rPr>
        <w:t>14.2.2</w:t>
      </w:r>
      <w:r>
        <w:rPr>
          <w:rFonts w:eastAsia="楷体_GB2312"/>
          <w:color w:val="000000"/>
          <w:sz w:val="24"/>
        </w:rPr>
        <w:fldChar w:fldCharType="end"/>
      </w:r>
      <w:r>
        <w:rPr>
          <w:rFonts w:eastAsia="楷体_GB2312"/>
          <w:color w:val="000000"/>
          <w:sz w:val="24"/>
        </w:rPr>
        <w:t>款至第</w:t>
      </w:r>
      <w:r>
        <w:rPr>
          <w:rFonts w:eastAsia="楷体_GB2312"/>
          <w:color w:val="000000"/>
          <w:sz w:val="24"/>
        </w:rPr>
        <w:fldChar w:fldCharType="begin"/>
      </w:r>
      <w:r>
        <w:rPr>
          <w:rFonts w:eastAsia="楷体_GB2312"/>
          <w:color w:val="000000"/>
          <w:sz w:val="24"/>
        </w:rPr>
        <w:instrText xml:space="preserve"> REF _Ref221873244 \r \h  \* MERGEFORMAT </w:instrText>
      </w:r>
      <w:r>
        <w:rPr>
          <w:rFonts w:eastAsia="楷体_GB2312"/>
          <w:color w:val="000000"/>
          <w:sz w:val="24"/>
        </w:rPr>
        <w:fldChar w:fldCharType="separate"/>
      </w:r>
      <w:r>
        <w:rPr>
          <w:rFonts w:eastAsia="楷体_GB2312"/>
          <w:color w:val="000000"/>
          <w:sz w:val="24"/>
        </w:rPr>
        <w:t>14.2.5</w:t>
      </w:r>
      <w:r>
        <w:rPr>
          <w:rFonts w:eastAsia="楷体_GB2312"/>
          <w:color w:val="000000"/>
          <w:sz w:val="24"/>
        </w:rPr>
        <w:fldChar w:fldCharType="end"/>
      </w:r>
      <w:r>
        <w:rPr>
          <w:rFonts w:eastAsia="楷体_GB2312"/>
          <w:color w:val="000000"/>
          <w:sz w:val="24"/>
        </w:rPr>
        <w:t>款约定清算除现金、存款及“合格投资”以外的“信托财产”（即“非现金信托财产”）。</w:t>
      </w:r>
      <w:bookmarkEnd w:id="665"/>
    </w:p>
    <w:p w14:paraId="7078F064">
      <w:pPr>
        <w:numPr>
          <w:ilvl w:val="2"/>
          <w:numId w:val="7"/>
        </w:numPr>
        <w:spacing w:line="360" w:lineRule="auto"/>
        <w:ind w:left="1701" w:hanging="708"/>
      </w:pPr>
      <w:bookmarkStart w:id="667" w:name="_Ref48056423"/>
      <w:bookmarkStart w:id="668" w:name="_Ref456777816"/>
      <w:bookmarkStart w:id="669" w:name="_Ref454568537"/>
      <w:bookmarkStart w:id="670" w:name="_Ref450921220"/>
      <w:r>
        <w:rPr>
          <w:rFonts w:eastAsia="楷体_GB2312"/>
          <w:color w:val="000000"/>
          <w:sz w:val="24"/>
        </w:rPr>
        <w:t>如“优先级资产支持证券”本金全部清偿完毕，则“受托人”可按照本合同第</w:t>
      </w:r>
      <w:r>
        <w:rPr>
          <w:rFonts w:eastAsia="楷体_GB2312"/>
          <w:color w:val="000000"/>
          <w:sz w:val="24"/>
        </w:rPr>
        <w:fldChar w:fldCharType="begin"/>
      </w:r>
      <w:r>
        <w:rPr>
          <w:rFonts w:eastAsia="楷体_GB2312"/>
          <w:color w:val="000000"/>
          <w:sz w:val="24"/>
        </w:rPr>
        <w:instrText xml:space="preserve"> REF _Ref92193007 \r \h  \* MERGEFORMAT </w:instrText>
      </w:r>
      <w:r>
        <w:rPr>
          <w:rFonts w:eastAsia="楷体_GB2312"/>
          <w:color w:val="000000"/>
          <w:sz w:val="24"/>
        </w:rPr>
        <w:fldChar w:fldCharType="separate"/>
      </w:r>
      <w:r>
        <w:rPr>
          <w:rFonts w:eastAsia="楷体_GB2312"/>
          <w:color w:val="000000"/>
          <w:sz w:val="24"/>
        </w:rPr>
        <w:t>12.1.5</w:t>
      </w:r>
      <w:r>
        <w:rPr>
          <w:rFonts w:eastAsia="楷体_GB2312"/>
          <w:color w:val="000000"/>
          <w:sz w:val="24"/>
        </w:rPr>
        <w:fldChar w:fldCharType="end"/>
      </w:r>
      <w:r>
        <w:rPr>
          <w:rFonts w:eastAsia="楷体_GB2312"/>
          <w:color w:val="000000"/>
          <w:sz w:val="24"/>
        </w:rPr>
        <w:t>款至第</w:t>
      </w:r>
      <w:r>
        <w:rPr>
          <w:rFonts w:eastAsia="楷体_GB2312"/>
          <w:color w:val="000000"/>
          <w:sz w:val="24"/>
        </w:rPr>
        <w:fldChar w:fldCharType="begin"/>
      </w:r>
      <w:r>
        <w:rPr>
          <w:rFonts w:eastAsia="楷体_GB2312"/>
          <w:color w:val="000000"/>
          <w:sz w:val="24"/>
        </w:rPr>
        <w:instrText xml:space="preserve"> REF _Ref47870283 \r \h  \* MERGEFORMAT </w:instrText>
      </w:r>
      <w:r>
        <w:rPr>
          <w:rFonts w:eastAsia="楷体_GB2312"/>
          <w:color w:val="000000"/>
          <w:sz w:val="24"/>
        </w:rPr>
        <w:fldChar w:fldCharType="separate"/>
      </w:r>
      <w:r>
        <w:rPr>
          <w:rFonts w:eastAsia="楷体_GB2312"/>
          <w:color w:val="000000"/>
          <w:sz w:val="24"/>
        </w:rPr>
        <w:t>12.1.7</w:t>
      </w:r>
      <w:r>
        <w:rPr>
          <w:rFonts w:eastAsia="楷体_GB2312"/>
          <w:color w:val="000000"/>
          <w:sz w:val="24"/>
        </w:rPr>
        <w:fldChar w:fldCharType="end"/>
      </w:r>
      <w:r>
        <w:rPr>
          <w:rFonts w:eastAsia="楷体_GB2312"/>
          <w:color w:val="000000"/>
          <w:sz w:val="24"/>
        </w:rPr>
        <w:t>款的约定按照“次级资产支持证券持有人”届时达成的“资产处置方案”或原状分配方案分配相应的剩余“信托财产”。</w:t>
      </w:r>
      <w:bookmarkEnd w:id="667"/>
    </w:p>
    <w:p w14:paraId="6AAB28DB">
      <w:pPr>
        <w:numPr>
          <w:ilvl w:val="2"/>
          <w:numId w:val="7"/>
        </w:numPr>
        <w:spacing w:line="360" w:lineRule="auto"/>
        <w:ind w:left="1701" w:hanging="708"/>
        <w:rPr>
          <w:rFonts w:eastAsia="楷体_GB2312"/>
          <w:color w:val="000000"/>
          <w:sz w:val="24"/>
        </w:rPr>
      </w:pPr>
      <w:r>
        <w:rPr>
          <w:rFonts w:eastAsia="楷体_GB2312"/>
          <w:color w:val="000000"/>
          <w:sz w:val="24"/>
        </w:rPr>
        <w:t>“信托”终止后若存在“非现金信托财产”</w:t>
      </w:r>
      <w:r>
        <w:rPr>
          <w:rFonts w:eastAsia="楷体_GB2312"/>
          <w:sz w:val="24"/>
        </w:rPr>
        <w:t>（包括已被核销的“资产”），</w:t>
      </w:r>
      <w:r>
        <w:rPr>
          <w:rFonts w:eastAsia="楷体_GB2312"/>
          <w:color w:val="000000"/>
          <w:sz w:val="24"/>
        </w:rPr>
        <w:t>“受托人”应于“信托终止日”后及时制订“非现金信托财产”的清算方案（“清算方案”），“受托人”可根据对“资产”的分类分别制定不同类“资产”的“清算方案”，并于“信托终止日”后【】日内按照本合同第</w:t>
      </w:r>
      <w:r>
        <w:rPr>
          <w:rFonts w:eastAsia="楷体_GB2312"/>
          <w:color w:val="000000"/>
        </w:rPr>
        <w:fldChar w:fldCharType="begin"/>
      </w:r>
      <w:r>
        <w:rPr>
          <w:rFonts w:eastAsia="楷体_GB2312"/>
          <w:color w:val="000000"/>
          <w:sz w:val="24"/>
        </w:rPr>
        <w:instrText xml:space="preserve"> REF _Ref347323733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19</w:t>
      </w:r>
      <w:r>
        <w:rPr>
          <w:rFonts w:eastAsia="楷体_GB2312"/>
          <w:color w:val="000000"/>
        </w:rPr>
        <w:fldChar w:fldCharType="end"/>
      </w:r>
      <w:r>
        <w:rPr>
          <w:rFonts w:eastAsia="楷体_GB2312"/>
          <w:color w:val="000000"/>
          <w:sz w:val="24"/>
        </w:rPr>
        <w:t>条的约定召集“资产支持证券持有人大会”，由“资产支持证券持有人大会”就“清算方案”作出决议，“受托人”应不晚于“资产支持证券持有人大会”召开之日前【】个“工作日”将“清算方案”送达各“资产支持证券持有人”，由“资产支持证券持有人大会”就是否认可“清算方案”作出决议。</w:t>
      </w:r>
    </w:p>
    <w:p w14:paraId="434B5591">
      <w:pPr>
        <w:numPr>
          <w:ilvl w:val="2"/>
          <w:numId w:val="7"/>
        </w:numPr>
        <w:spacing w:line="360" w:lineRule="auto"/>
        <w:ind w:left="1701" w:hanging="708"/>
        <w:rPr>
          <w:rFonts w:eastAsia="楷体_GB2312"/>
          <w:color w:val="000000"/>
          <w:sz w:val="24"/>
        </w:rPr>
      </w:pPr>
      <w:r>
        <w:rPr>
          <w:rFonts w:eastAsia="楷体_GB2312"/>
          <w:color w:val="000000"/>
          <w:sz w:val="24"/>
        </w:rPr>
        <w:t>如果“资产支持证券持有人大会”未通过“受托人”提出的某类“资产”的“清算方案”，则其对该类“资产”“清算方案”的否定不影响其他类“资产”仍按照“受托人”提出的“清算方案”进行清算。对某类“资产”的“清算方案”提出反对的“资产支持证券持有人”应提出一个具有可执行性的其他“清算方案”并说明理由，特别地，当所审议的“清算方案”涉及“非现金信托财产”的处置价格而未被“资产支持证券持有人大会”审议通过的，对某类“资产”的“清算方案”提出反对的“资产支持证券持有人”应在反对的同时向所有“资产支持证券持有人”提出一个优于“清算方案”的报价，无论该报价系以口头或书面方式作出。前述“清算方案”经“资产支持证券持有人大会”决议批准且参会的全体“资产支持证券持有人”代表和“受托人”在“资产支持证券持有人大会”会议记录上签字后即视为各方就该类“资产”的“清算方案”达成一致意见，对全体“资产支持证券持有人”、“受托人”和提出“清算方案”的“资产支持证券持有人”具有约束力。如“清算方案”系以口头方式作出，提出该“清算方案”的“资产支持证券持有人”应在“资产支持证券持有人大会”召开完毕后【】个“工作日”内应向“受托人”提交一份与口头报价内容一致的经正式签字并盖章的书面报价方案，供“受托人”存档。为免疑义，该“资产支持证券持有人”是否提交书面报价方案并不改变经各方确认的“资产支持证券持有人大会”会议记录所记载的相关“清算方案”的效力。如后续该“资产支持证券持有人”未最终履行该报价方案，则应承担违约责任，赔偿“信托”和“资产支持证券持有人”的实际损失。</w:t>
      </w:r>
    </w:p>
    <w:p w14:paraId="3C1E66C1">
      <w:pPr>
        <w:numPr>
          <w:ilvl w:val="2"/>
          <w:numId w:val="7"/>
        </w:numPr>
        <w:spacing w:line="360" w:lineRule="auto"/>
        <w:ind w:left="1701" w:hanging="708"/>
        <w:rPr>
          <w:rFonts w:eastAsia="楷体_GB2312"/>
          <w:color w:val="000000"/>
          <w:sz w:val="24"/>
        </w:rPr>
      </w:pPr>
      <w:bookmarkStart w:id="671" w:name="_Ref221873244"/>
      <w:r>
        <w:rPr>
          <w:rFonts w:eastAsia="楷体_GB2312"/>
          <w:color w:val="000000"/>
          <w:sz w:val="24"/>
        </w:rPr>
        <w:t>“受托人”应在“清算方案”中同时就清算产生的“处置收入”分配时间及其他与清算有关事项提请“资产支持证券持有人大会”做出决议。在“资产支持证券持有人大会”就“非现金信托财产”的“清算方案”尚未形成决议之前，“受托人”仍应继续按照本合同及其他“交易文件”约定的方式管理、处分和运用“信托财产”，“受益人”、“委托人”、“受托人”、“贷款服务机构”、“资金保管机构”继续按照本“信托”相关合同约定享受权利及履行义务。如“受托人”按照有效的“清算方案”在“信托”终止后【】内仍无法完成“非现金信托财产”的变现的，或者“资产支持证券持有人大会”在“信托终止日”后【】日内无法就“清算方案”达成一致意见，则在“中国”“法律”和监管要求允许的前提下，“受托人”有权自行或指定“贷款服务机构”通过拍卖、招标、挂牌交易等各种方式整体或拆分处置“非现金信托财产</w:t>
      </w:r>
      <w:bookmarkEnd w:id="668"/>
      <w:r>
        <w:rPr>
          <w:rFonts w:eastAsia="楷体_GB2312"/>
          <w:color w:val="000000"/>
          <w:sz w:val="24"/>
        </w:rPr>
        <w:t>”，而无需经过“资产支持证券持有人大会”决议或经“资产支持证券持有人”同意。</w:t>
      </w:r>
      <w:bookmarkEnd w:id="669"/>
      <w:bookmarkEnd w:id="670"/>
      <w:r>
        <w:rPr>
          <w:rFonts w:eastAsia="楷体_GB2312"/>
          <w:color w:val="000000"/>
          <w:sz w:val="24"/>
        </w:rPr>
        <w:t>“受托人”有权在“信托”终止前处置“非现金信托财产”时或在“信托”终止后对“非现金信托财产”进行清算时聘请本项目发行时的“评估机构”、“法律顾问”、“会计顾问/税务顾问”或其他具有相应资质的评估机构、律师事务所、会计师事务所（项目发行时的“评估机构”“法律顾问”、“会计顾问/税务顾问”无法提供服务时）等中介机构提供相关服务，所产生的费用由“信托财产”承担，且就该等聘请事宜无需经“资产支持证券持有人大会”审议。全体“资产支持证券持有人”及“委托人”对“受托人”的处理方式及结果表示认可。</w:t>
      </w:r>
      <w:bookmarkEnd w:id="671"/>
    </w:p>
    <w:p w14:paraId="7558D419">
      <w:pPr>
        <w:numPr>
          <w:ilvl w:val="2"/>
          <w:numId w:val="7"/>
        </w:numPr>
        <w:spacing w:line="360" w:lineRule="auto"/>
        <w:ind w:left="1701" w:hanging="708"/>
        <w:rPr>
          <w:rFonts w:eastAsia="楷体_GB2312"/>
          <w:color w:val="000000"/>
          <w:sz w:val="24"/>
        </w:rPr>
      </w:pPr>
      <w:r>
        <w:rPr>
          <w:rFonts w:eastAsia="楷体_GB2312"/>
          <w:color w:val="000000"/>
          <w:sz w:val="24"/>
        </w:rPr>
        <w:t>“信托”终止后，“受托人”应当按照本合同第</w:t>
      </w:r>
      <w:r>
        <w:rPr>
          <w:rFonts w:eastAsia="楷体_GB2312"/>
          <w:color w:val="000000"/>
          <w:sz w:val="24"/>
        </w:rPr>
        <w:fldChar w:fldCharType="begin"/>
      </w:r>
      <w:r>
        <w:rPr>
          <w:rFonts w:eastAsia="楷体_GB2312"/>
          <w:color w:val="000000"/>
          <w:sz w:val="24"/>
        </w:rPr>
        <w:instrText xml:space="preserve"> REF _Ref520391584 \r \h  \* MERGEFORMAT </w:instrText>
      </w:r>
      <w:r>
        <w:rPr>
          <w:rFonts w:eastAsia="楷体_GB2312"/>
          <w:color w:val="000000"/>
          <w:sz w:val="24"/>
        </w:rPr>
        <w:fldChar w:fldCharType="separate"/>
      </w:r>
      <w:r>
        <w:rPr>
          <w:rFonts w:eastAsia="楷体_GB2312"/>
          <w:color w:val="000000"/>
          <w:sz w:val="24"/>
        </w:rPr>
        <w:t>11.5</w:t>
      </w:r>
      <w:r>
        <w:rPr>
          <w:rFonts w:eastAsia="楷体_GB2312"/>
          <w:color w:val="000000"/>
          <w:sz w:val="24"/>
        </w:rPr>
        <w:fldChar w:fldCharType="end"/>
      </w:r>
      <w:r>
        <w:rPr>
          <w:rFonts w:eastAsia="楷体_GB2312"/>
          <w:color w:val="000000"/>
          <w:sz w:val="24"/>
        </w:rPr>
        <w:t>款以及“资产支持证券持有人大会”决议的方式对“信托财产”进行分配。在“信托终止日”后，“优先级资产支持证券”的利率按照“信托终止日”的“票面利率”计算。</w:t>
      </w:r>
    </w:p>
    <w:p w14:paraId="6BCDC90D">
      <w:pPr>
        <w:numPr>
          <w:ilvl w:val="2"/>
          <w:numId w:val="7"/>
        </w:numPr>
        <w:spacing w:line="360" w:lineRule="auto"/>
        <w:ind w:left="1701" w:hanging="708"/>
        <w:rPr>
          <w:rFonts w:eastAsia="楷体_GB2312"/>
          <w:color w:val="000000"/>
        </w:rPr>
      </w:pPr>
      <w:r>
        <w:rPr>
          <w:rFonts w:eastAsia="楷体_GB2312"/>
          <w:color w:val="000000"/>
          <w:sz w:val="24"/>
        </w:rPr>
        <w:t>“受托人”应于“信托财产”清算完毕之日后【】日内依法出具信托清算报告，该信托清算报告应经“审计师”的审计。“审计师”就信托清算报告出具审计报告后【】个“工作日”内，“受托人”应按照本合同第</w:t>
      </w:r>
      <w:r>
        <w:rPr>
          <w:rFonts w:eastAsia="楷体_GB2312"/>
          <w:color w:val="000000"/>
        </w:rPr>
        <w:fldChar w:fldCharType="begin"/>
      </w:r>
      <w:r>
        <w:rPr>
          <w:rFonts w:eastAsia="楷体_GB2312"/>
          <w:color w:val="000000"/>
        </w:rPr>
        <w:instrText xml:space="preserve"> REF _Ref336008034 \r \h  \* MERGEFORMAT </w:instrText>
      </w:r>
      <w:r>
        <w:rPr>
          <w:rFonts w:eastAsia="楷体_GB2312"/>
          <w:color w:val="000000"/>
        </w:rPr>
        <w:fldChar w:fldCharType="separate"/>
      </w:r>
      <w:r>
        <w:rPr>
          <w:rFonts w:eastAsia="楷体_GB2312"/>
          <w:color w:val="000000"/>
          <w:sz w:val="24"/>
        </w:rPr>
        <w:t>21</w:t>
      </w:r>
      <w:r>
        <w:rPr>
          <w:rFonts w:eastAsia="楷体_GB2312"/>
          <w:color w:val="000000"/>
        </w:rPr>
        <w:fldChar w:fldCharType="end"/>
      </w:r>
      <w:r>
        <w:rPr>
          <w:rFonts w:eastAsia="楷体_GB2312"/>
          <w:color w:val="000000"/>
          <w:sz w:val="24"/>
        </w:rPr>
        <w:t>条的约定披露经审计的信托清算报告，公告期为【】日。</w:t>
      </w:r>
    </w:p>
    <w:p w14:paraId="50A6EF3C">
      <w:pPr>
        <w:numPr>
          <w:ilvl w:val="2"/>
          <w:numId w:val="7"/>
        </w:numPr>
        <w:spacing w:line="360" w:lineRule="auto"/>
        <w:ind w:left="1701" w:hanging="708"/>
        <w:rPr>
          <w:rFonts w:eastAsia="楷体_GB2312"/>
          <w:b/>
          <w:color w:val="000000"/>
          <w:sz w:val="24"/>
        </w:rPr>
      </w:pPr>
      <w:r>
        <w:rPr>
          <w:rFonts w:eastAsia="楷体_GB2312"/>
          <w:color w:val="000000"/>
          <w:sz w:val="24"/>
        </w:rPr>
        <w:t>信托清算报告公告期届满，“信托终止日”时“资产支持证券”未兑付完毕的“资产支持证券持有人”未提出异议的，“受托人”就信托清算报告所列事项解除责任，但因“受托人”的不当行为、重大过失、欺诈和违约而引起的责任除外。</w:t>
      </w:r>
      <w:bookmarkEnd w:id="666"/>
      <w:bookmarkStart w:id="672" w:name="_Toc340398005"/>
      <w:bookmarkEnd w:id="672"/>
      <w:bookmarkStart w:id="673" w:name="_Toc340397736"/>
      <w:bookmarkEnd w:id="673"/>
      <w:bookmarkStart w:id="674" w:name="_Toc340398094"/>
      <w:bookmarkEnd w:id="674"/>
      <w:bookmarkStart w:id="675" w:name="_Toc340398080"/>
      <w:bookmarkEnd w:id="675"/>
      <w:bookmarkStart w:id="676" w:name="_Toc340397668"/>
      <w:bookmarkEnd w:id="676"/>
      <w:bookmarkStart w:id="677" w:name="_Toc340397743"/>
      <w:bookmarkEnd w:id="677"/>
      <w:bookmarkStart w:id="678" w:name="_Toc340398165"/>
      <w:bookmarkEnd w:id="678"/>
      <w:bookmarkStart w:id="679" w:name="_Toc340397708"/>
      <w:bookmarkEnd w:id="679"/>
      <w:bookmarkStart w:id="680" w:name="_Toc340397784"/>
      <w:bookmarkEnd w:id="680"/>
      <w:bookmarkStart w:id="681" w:name="_Toc340398146"/>
      <w:bookmarkEnd w:id="681"/>
      <w:bookmarkStart w:id="682" w:name="_Toc340398180"/>
      <w:bookmarkEnd w:id="682"/>
      <w:bookmarkStart w:id="683" w:name="_Toc340397737"/>
      <w:bookmarkEnd w:id="683"/>
      <w:bookmarkStart w:id="684" w:name="_Toc340397740"/>
      <w:bookmarkEnd w:id="684"/>
      <w:bookmarkStart w:id="685" w:name="_Toc340397630"/>
      <w:bookmarkEnd w:id="685"/>
      <w:bookmarkStart w:id="686" w:name="_Toc340397625"/>
      <w:bookmarkEnd w:id="686"/>
      <w:bookmarkStart w:id="687" w:name="_Toc340397673"/>
      <w:bookmarkEnd w:id="687"/>
      <w:bookmarkStart w:id="688" w:name="_Toc340397786"/>
      <w:bookmarkEnd w:id="688"/>
      <w:bookmarkStart w:id="689" w:name="_Toc340398048"/>
      <w:bookmarkEnd w:id="689"/>
      <w:bookmarkStart w:id="690" w:name="_Toc340397706"/>
      <w:bookmarkEnd w:id="690"/>
      <w:bookmarkStart w:id="691" w:name="_Toc340398101"/>
      <w:bookmarkEnd w:id="691"/>
      <w:bookmarkStart w:id="692" w:name="_Toc340397759"/>
      <w:bookmarkEnd w:id="692"/>
      <w:bookmarkStart w:id="693" w:name="_Toc340397764"/>
      <w:bookmarkEnd w:id="693"/>
      <w:bookmarkStart w:id="694" w:name="_DV_M481"/>
      <w:bookmarkEnd w:id="694"/>
      <w:bookmarkStart w:id="695" w:name="_Toc340398030"/>
      <w:bookmarkEnd w:id="695"/>
      <w:bookmarkStart w:id="696" w:name="_Toc340397778"/>
      <w:bookmarkEnd w:id="696"/>
      <w:bookmarkStart w:id="697" w:name="_Toc340398144"/>
      <w:bookmarkEnd w:id="697"/>
      <w:bookmarkStart w:id="698" w:name="_Toc340397681"/>
      <w:bookmarkEnd w:id="698"/>
      <w:bookmarkStart w:id="699" w:name="_Toc340397710"/>
      <w:bookmarkEnd w:id="699"/>
      <w:bookmarkStart w:id="700" w:name="_Toc340398056"/>
      <w:bookmarkEnd w:id="700"/>
      <w:bookmarkStart w:id="701" w:name="_DV_M479"/>
      <w:bookmarkEnd w:id="701"/>
      <w:bookmarkStart w:id="702" w:name="_Toc340398095"/>
      <w:bookmarkEnd w:id="702"/>
      <w:bookmarkStart w:id="703" w:name="_Toc340397689"/>
      <w:bookmarkEnd w:id="703"/>
      <w:bookmarkStart w:id="704" w:name="_Toc340397655"/>
      <w:bookmarkEnd w:id="704"/>
      <w:bookmarkStart w:id="705" w:name="_Toc340397750"/>
      <w:bookmarkEnd w:id="705"/>
      <w:bookmarkStart w:id="706" w:name="_Toc340397728"/>
      <w:bookmarkEnd w:id="706"/>
      <w:bookmarkStart w:id="707" w:name="_Toc340398008"/>
      <w:bookmarkEnd w:id="707"/>
      <w:bookmarkStart w:id="708" w:name="_Toc340398072"/>
      <w:bookmarkEnd w:id="708"/>
      <w:bookmarkStart w:id="709" w:name="_Toc340397695"/>
      <w:bookmarkEnd w:id="709"/>
      <w:bookmarkStart w:id="710" w:name="_Toc340398081"/>
      <w:bookmarkEnd w:id="710"/>
      <w:bookmarkStart w:id="711" w:name="_Toc340397616"/>
      <w:bookmarkEnd w:id="711"/>
      <w:bookmarkStart w:id="712" w:name="_Toc340398122"/>
      <w:bookmarkEnd w:id="712"/>
      <w:bookmarkStart w:id="713" w:name="_Toc340397615"/>
      <w:bookmarkEnd w:id="713"/>
      <w:bookmarkStart w:id="714" w:name="_Toc340397703"/>
      <w:bookmarkEnd w:id="714"/>
      <w:bookmarkStart w:id="715" w:name="_Toc340397711"/>
      <w:bookmarkEnd w:id="715"/>
      <w:bookmarkStart w:id="716" w:name="_Toc340397771"/>
      <w:bookmarkEnd w:id="716"/>
      <w:bookmarkStart w:id="717" w:name="_Toc340397691"/>
      <w:bookmarkEnd w:id="717"/>
      <w:bookmarkStart w:id="718" w:name="_Toc340398085"/>
      <w:bookmarkEnd w:id="718"/>
      <w:bookmarkStart w:id="719" w:name="_Toc340398078"/>
      <w:bookmarkEnd w:id="719"/>
      <w:bookmarkStart w:id="720" w:name="_Toc340398062"/>
      <w:bookmarkEnd w:id="720"/>
      <w:bookmarkStart w:id="721" w:name="_Toc340398088"/>
      <w:bookmarkEnd w:id="721"/>
      <w:bookmarkStart w:id="722" w:name="_Toc340397678"/>
      <w:bookmarkEnd w:id="722"/>
      <w:bookmarkStart w:id="723" w:name="_Toc340398063"/>
      <w:bookmarkEnd w:id="723"/>
      <w:bookmarkStart w:id="724" w:name="_Toc340397688"/>
      <w:bookmarkEnd w:id="724"/>
      <w:bookmarkStart w:id="725" w:name="_Toc340398159"/>
      <w:bookmarkEnd w:id="725"/>
      <w:bookmarkStart w:id="726" w:name="_Toc340397733"/>
      <w:bookmarkEnd w:id="726"/>
      <w:bookmarkStart w:id="727" w:name="_Toc340398173"/>
      <w:bookmarkEnd w:id="727"/>
      <w:bookmarkStart w:id="728" w:name="_DV_M466"/>
      <w:bookmarkEnd w:id="728"/>
      <w:bookmarkStart w:id="729" w:name="_Toc340397701"/>
      <w:bookmarkEnd w:id="729"/>
      <w:bookmarkStart w:id="730" w:name="_Toc340398119"/>
      <w:bookmarkEnd w:id="730"/>
      <w:bookmarkStart w:id="731" w:name="_Toc340397769"/>
      <w:bookmarkEnd w:id="731"/>
      <w:bookmarkStart w:id="732" w:name="_Toc340397613"/>
      <w:bookmarkEnd w:id="732"/>
      <w:bookmarkStart w:id="733" w:name="_Toc340398111"/>
      <w:bookmarkEnd w:id="733"/>
      <w:bookmarkStart w:id="734" w:name="_Toc340397670"/>
      <w:bookmarkEnd w:id="734"/>
      <w:bookmarkStart w:id="735" w:name="_Toc340398099"/>
      <w:bookmarkEnd w:id="735"/>
      <w:bookmarkStart w:id="736" w:name="_Toc340398168"/>
      <w:bookmarkEnd w:id="736"/>
      <w:bookmarkStart w:id="737" w:name="_Toc340398097"/>
      <w:bookmarkEnd w:id="737"/>
      <w:bookmarkStart w:id="738" w:name="_Toc340397611"/>
      <w:bookmarkEnd w:id="738"/>
      <w:bookmarkStart w:id="739" w:name="_Toc340397787"/>
      <w:bookmarkEnd w:id="739"/>
      <w:bookmarkStart w:id="740" w:name="_Toc340397636"/>
      <w:bookmarkEnd w:id="740"/>
      <w:bookmarkStart w:id="741" w:name="_Toc340398164"/>
      <w:bookmarkEnd w:id="741"/>
      <w:bookmarkStart w:id="742" w:name="_Toc340398163"/>
      <w:bookmarkEnd w:id="742"/>
      <w:bookmarkStart w:id="743" w:name="_Toc340398142"/>
      <w:bookmarkEnd w:id="743"/>
      <w:bookmarkStart w:id="744" w:name="_Toc340397768"/>
      <w:bookmarkEnd w:id="744"/>
      <w:bookmarkStart w:id="745" w:name="_Toc340398066"/>
      <w:bookmarkEnd w:id="745"/>
      <w:bookmarkStart w:id="746" w:name="_Toc340398155"/>
      <w:bookmarkEnd w:id="746"/>
      <w:bookmarkStart w:id="747" w:name="_Toc340398031"/>
      <w:bookmarkEnd w:id="747"/>
      <w:bookmarkStart w:id="748" w:name="_Toc340397766"/>
      <w:bookmarkEnd w:id="748"/>
      <w:bookmarkStart w:id="749" w:name="_Toc340398172"/>
      <w:bookmarkEnd w:id="749"/>
      <w:bookmarkStart w:id="750" w:name="_Toc340398064"/>
      <w:bookmarkEnd w:id="750"/>
      <w:bookmarkStart w:id="751" w:name="_Toc340398175"/>
      <w:bookmarkEnd w:id="751"/>
      <w:bookmarkStart w:id="752" w:name="_Toc340398047"/>
      <w:bookmarkEnd w:id="752"/>
      <w:bookmarkStart w:id="753" w:name="_Toc340398058"/>
      <w:bookmarkEnd w:id="753"/>
      <w:bookmarkStart w:id="754" w:name="_Toc340398083"/>
      <w:bookmarkEnd w:id="754"/>
      <w:bookmarkStart w:id="755" w:name="_Toc340397656"/>
      <w:bookmarkEnd w:id="755"/>
      <w:bookmarkStart w:id="756" w:name="_Toc340398127"/>
      <w:bookmarkEnd w:id="756"/>
      <w:bookmarkStart w:id="757" w:name="_Toc340398014"/>
      <w:bookmarkEnd w:id="757"/>
      <w:bookmarkStart w:id="758" w:name="_Toc340398079"/>
      <w:bookmarkEnd w:id="758"/>
      <w:bookmarkStart w:id="759" w:name="_Toc340398139"/>
      <w:bookmarkEnd w:id="759"/>
      <w:bookmarkStart w:id="760" w:name="_Toc340397618"/>
      <w:bookmarkEnd w:id="760"/>
      <w:bookmarkStart w:id="761" w:name="_Toc340398046"/>
      <w:bookmarkEnd w:id="761"/>
      <w:bookmarkStart w:id="762" w:name="_Toc340398136"/>
      <w:bookmarkEnd w:id="762"/>
      <w:bookmarkStart w:id="763" w:name="_DV_M492"/>
      <w:bookmarkEnd w:id="763"/>
      <w:bookmarkStart w:id="764" w:name="_DV_M488"/>
      <w:bookmarkEnd w:id="764"/>
      <w:bookmarkStart w:id="765" w:name="_Toc340398003"/>
      <w:bookmarkEnd w:id="765"/>
      <w:bookmarkStart w:id="766" w:name="_Toc340397632"/>
      <w:bookmarkEnd w:id="766"/>
      <w:bookmarkStart w:id="767" w:name="_DV_M489"/>
      <w:bookmarkEnd w:id="767"/>
      <w:bookmarkStart w:id="768" w:name="_Toc340398128"/>
      <w:bookmarkEnd w:id="768"/>
      <w:bookmarkStart w:id="769" w:name="_Toc340398167"/>
      <w:bookmarkEnd w:id="769"/>
      <w:bookmarkStart w:id="770" w:name="_Toc340397628"/>
      <w:bookmarkEnd w:id="770"/>
      <w:bookmarkStart w:id="771" w:name="_Toc204504298"/>
      <w:bookmarkEnd w:id="771"/>
      <w:bookmarkStart w:id="772" w:name="_Toc110370665"/>
      <w:bookmarkEnd w:id="772"/>
      <w:bookmarkStart w:id="773" w:name="_Toc340397754"/>
      <w:bookmarkEnd w:id="773"/>
      <w:bookmarkStart w:id="774" w:name="_Toc340398107"/>
      <w:bookmarkEnd w:id="774"/>
      <w:bookmarkStart w:id="775" w:name="_Toc340398157"/>
      <w:bookmarkEnd w:id="775"/>
      <w:bookmarkStart w:id="776" w:name="_Toc340397774"/>
      <w:bookmarkEnd w:id="776"/>
      <w:bookmarkStart w:id="777" w:name="_Toc340397767"/>
      <w:bookmarkEnd w:id="777"/>
      <w:bookmarkStart w:id="778" w:name="_Toc340398176"/>
      <w:bookmarkEnd w:id="778"/>
      <w:bookmarkStart w:id="779" w:name="_Toc340398057"/>
      <w:bookmarkEnd w:id="779"/>
      <w:bookmarkStart w:id="780" w:name="_Toc340398129"/>
      <w:bookmarkEnd w:id="780"/>
      <w:bookmarkStart w:id="781" w:name="_Toc340398134"/>
      <w:bookmarkEnd w:id="781"/>
      <w:bookmarkStart w:id="782" w:name="_Toc340398120"/>
      <w:bookmarkEnd w:id="782"/>
      <w:bookmarkStart w:id="783" w:name="_Toc340397752"/>
      <w:bookmarkEnd w:id="783"/>
      <w:bookmarkStart w:id="784" w:name="_Toc340398021"/>
      <w:bookmarkEnd w:id="784"/>
      <w:bookmarkStart w:id="785" w:name="_Toc340397690"/>
      <w:bookmarkEnd w:id="785"/>
      <w:bookmarkStart w:id="786" w:name="_Toc340398068"/>
      <w:bookmarkEnd w:id="786"/>
      <w:bookmarkStart w:id="787" w:name="_Toc340398138"/>
      <w:bookmarkEnd w:id="787"/>
      <w:bookmarkStart w:id="788" w:name="_Toc340397614"/>
      <w:bookmarkEnd w:id="788"/>
      <w:bookmarkStart w:id="789" w:name="_DV_M491"/>
      <w:bookmarkEnd w:id="789"/>
      <w:bookmarkStart w:id="790" w:name="_Toc340397675"/>
      <w:bookmarkEnd w:id="790"/>
      <w:bookmarkStart w:id="791" w:name="_Toc340397729"/>
      <w:bookmarkEnd w:id="791"/>
      <w:bookmarkStart w:id="792" w:name="_Toc340397757"/>
      <w:bookmarkEnd w:id="792"/>
      <w:bookmarkStart w:id="793" w:name="_Toc340398013"/>
      <w:bookmarkEnd w:id="793"/>
      <w:bookmarkStart w:id="794" w:name="_Toc340398087"/>
      <w:bookmarkEnd w:id="794"/>
      <w:bookmarkStart w:id="795" w:name="_Toc340398132"/>
      <w:bookmarkEnd w:id="795"/>
      <w:bookmarkStart w:id="796" w:name="_Toc340397666"/>
      <w:bookmarkEnd w:id="796"/>
      <w:bookmarkStart w:id="797" w:name="_Toc340397753"/>
      <w:bookmarkEnd w:id="797"/>
      <w:bookmarkStart w:id="798" w:name="_Toc340398065"/>
      <w:bookmarkEnd w:id="798"/>
      <w:bookmarkStart w:id="799" w:name="_Toc340397664"/>
      <w:bookmarkEnd w:id="799"/>
      <w:bookmarkStart w:id="800" w:name="_Toc340398017"/>
      <w:bookmarkEnd w:id="800"/>
      <w:bookmarkStart w:id="801" w:name="_Toc340397660"/>
      <w:bookmarkEnd w:id="801"/>
      <w:bookmarkStart w:id="802" w:name="_Toc340398118"/>
      <w:bookmarkEnd w:id="802"/>
      <w:bookmarkStart w:id="803" w:name="_Toc340398082"/>
      <w:bookmarkEnd w:id="803"/>
      <w:bookmarkStart w:id="804" w:name="_DV_M493"/>
      <w:bookmarkEnd w:id="804"/>
      <w:bookmarkStart w:id="805" w:name="_Toc340398131"/>
      <w:bookmarkEnd w:id="805"/>
      <w:bookmarkStart w:id="806" w:name="_Toc340398151"/>
      <w:bookmarkEnd w:id="806"/>
      <w:bookmarkStart w:id="807" w:name="_Toc340397696"/>
      <w:bookmarkEnd w:id="807"/>
      <w:bookmarkStart w:id="808" w:name="_Toc340398076"/>
      <w:bookmarkEnd w:id="808"/>
      <w:bookmarkStart w:id="809" w:name="_Toc340398009"/>
      <w:bookmarkEnd w:id="809"/>
      <w:bookmarkStart w:id="810" w:name="_Toc340397648"/>
      <w:bookmarkEnd w:id="810"/>
      <w:bookmarkStart w:id="811" w:name="_Toc340397617"/>
      <w:bookmarkEnd w:id="811"/>
      <w:bookmarkStart w:id="812" w:name="_Toc340398116"/>
      <w:bookmarkEnd w:id="812"/>
      <w:bookmarkStart w:id="813" w:name="_Toc340398050"/>
      <w:bookmarkEnd w:id="813"/>
      <w:bookmarkStart w:id="814" w:name="_Toc340398011"/>
      <w:bookmarkEnd w:id="814"/>
      <w:bookmarkStart w:id="815" w:name="_Toc340397624"/>
      <w:bookmarkEnd w:id="815"/>
      <w:bookmarkStart w:id="816" w:name="_DV_M473"/>
      <w:bookmarkEnd w:id="816"/>
      <w:bookmarkStart w:id="817" w:name="_Toc340397623"/>
      <w:bookmarkEnd w:id="817"/>
      <w:bookmarkStart w:id="818" w:name="_Toc340397665"/>
      <w:bookmarkEnd w:id="818"/>
      <w:bookmarkStart w:id="819" w:name="_Toc340398037"/>
      <w:bookmarkEnd w:id="819"/>
      <w:bookmarkStart w:id="820" w:name="_Toc340397645"/>
      <w:bookmarkEnd w:id="820"/>
      <w:bookmarkStart w:id="821" w:name="_Toc340398060"/>
      <w:bookmarkEnd w:id="821"/>
      <w:bookmarkStart w:id="822" w:name="_Toc340398075"/>
      <w:bookmarkEnd w:id="822"/>
      <w:bookmarkStart w:id="823" w:name="_Toc340398042"/>
      <w:bookmarkEnd w:id="823"/>
      <w:bookmarkStart w:id="824" w:name="_Toc340398016"/>
      <w:bookmarkEnd w:id="824"/>
      <w:bookmarkStart w:id="825" w:name="_DV_M467"/>
      <w:bookmarkEnd w:id="825"/>
      <w:bookmarkStart w:id="826" w:name="_Toc340398110"/>
      <w:bookmarkEnd w:id="826"/>
      <w:bookmarkStart w:id="827" w:name="_DV_M463"/>
      <w:bookmarkEnd w:id="827"/>
      <w:bookmarkStart w:id="828" w:name="_Toc340398052"/>
      <w:bookmarkEnd w:id="828"/>
      <w:bookmarkStart w:id="829" w:name="_Toc340398154"/>
      <w:bookmarkEnd w:id="829"/>
      <w:bookmarkStart w:id="830" w:name="_Toc340398018"/>
      <w:bookmarkEnd w:id="830"/>
      <w:bookmarkStart w:id="831" w:name="_Toc340397693"/>
      <w:bookmarkEnd w:id="831"/>
      <w:bookmarkStart w:id="832" w:name="_Toc340398055"/>
      <w:bookmarkEnd w:id="832"/>
      <w:bookmarkStart w:id="833" w:name="_Toc340397653"/>
      <w:bookmarkEnd w:id="833"/>
      <w:bookmarkStart w:id="834" w:name="_Toc340397714"/>
      <w:bookmarkEnd w:id="834"/>
      <w:bookmarkStart w:id="835" w:name="_Toc340397694"/>
      <w:bookmarkEnd w:id="835"/>
      <w:bookmarkStart w:id="836" w:name="_DV_M462"/>
      <w:bookmarkEnd w:id="836"/>
      <w:bookmarkStart w:id="837" w:name="_Toc340397635"/>
      <w:bookmarkEnd w:id="837"/>
      <w:bookmarkStart w:id="838" w:name="_Toc340398034"/>
      <w:bookmarkEnd w:id="838"/>
      <w:bookmarkStart w:id="839" w:name="_Toc340397642"/>
      <w:bookmarkEnd w:id="839"/>
      <w:bookmarkStart w:id="840" w:name="_Toc340398070"/>
      <w:bookmarkEnd w:id="840"/>
      <w:bookmarkStart w:id="841" w:name="_Toc340398044"/>
      <w:bookmarkEnd w:id="841"/>
      <w:bookmarkStart w:id="842" w:name="_Toc340398007"/>
      <w:bookmarkEnd w:id="842"/>
      <w:bookmarkStart w:id="843" w:name="_Toc340398084"/>
      <w:bookmarkEnd w:id="843"/>
      <w:bookmarkStart w:id="844" w:name="_Toc340398029"/>
      <w:bookmarkEnd w:id="844"/>
      <w:bookmarkStart w:id="845" w:name="_Toc340398067"/>
      <w:bookmarkEnd w:id="845"/>
      <w:bookmarkStart w:id="846" w:name="_Toc340397667"/>
      <w:bookmarkEnd w:id="846"/>
      <w:bookmarkStart w:id="847" w:name="_Toc340397622"/>
      <w:bookmarkEnd w:id="847"/>
      <w:bookmarkStart w:id="848" w:name="_Toc340397649"/>
      <w:bookmarkEnd w:id="848"/>
      <w:bookmarkStart w:id="849" w:name="_Toc340398137"/>
      <w:bookmarkEnd w:id="849"/>
      <w:bookmarkStart w:id="850" w:name="_Toc340397658"/>
      <w:bookmarkEnd w:id="850"/>
      <w:bookmarkStart w:id="851" w:name="_DV_M471"/>
      <w:bookmarkEnd w:id="851"/>
      <w:bookmarkStart w:id="852" w:name="_Toc340398038"/>
      <w:bookmarkEnd w:id="852"/>
      <w:bookmarkStart w:id="853" w:name="_Toc340397718"/>
      <w:bookmarkEnd w:id="853"/>
      <w:bookmarkStart w:id="854" w:name="_Toc340397742"/>
      <w:bookmarkEnd w:id="854"/>
      <w:bookmarkStart w:id="855" w:name="_Toc340398022"/>
      <w:bookmarkEnd w:id="855"/>
      <w:bookmarkStart w:id="856" w:name="_Toc340398004"/>
      <w:bookmarkEnd w:id="856"/>
      <w:bookmarkStart w:id="857" w:name="_Toc340398035"/>
      <w:bookmarkEnd w:id="857"/>
      <w:bookmarkStart w:id="858" w:name="_Toc340397626"/>
      <w:bookmarkEnd w:id="858"/>
      <w:bookmarkStart w:id="859" w:name="_Toc340397644"/>
      <w:bookmarkEnd w:id="859"/>
      <w:bookmarkStart w:id="860" w:name="_Toc340398049"/>
      <w:bookmarkEnd w:id="860"/>
      <w:bookmarkStart w:id="861" w:name="_Toc340397631"/>
      <w:bookmarkEnd w:id="861"/>
      <w:bookmarkStart w:id="862" w:name="_Toc340397679"/>
      <w:bookmarkEnd w:id="862"/>
      <w:bookmarkStart w:id="863" w:name="_Toc340397643"/>
      <w:bookmarkEnd w:id="863"/>
      <w:bookmarkStart w:id="864" w:name="_Toc340397671"/>
      <w:bookmarkEnd w:id="864"/>
      <w:bookmarkStart w:id="865" w:name="_Toc340397676"/>
      <w:bookmarkEnd w:id="865"/>
      <w:bookmarkStart w:id="866" w:name="_Toc340398096"/>
      <w:bookmarkEnd w:id="866"/>
      <w:bookmarkStart w:id="867" w:name="_Toc340398045"/>
      <w:bookmarkEnd w:id="867"/>
      <w:bookmarkStart w:id="868" w:name="_Toc340398074"/>
      <w:bookmarkEnd w:id="868"/>
      <w:bookmarkStart w:id="869" w:name="_Toc340397662"/>
      <w:bookmarkEnd w:id="869"/>
      <w:bookmarkStart w:id="870" w:name="_Toc340397687"/>
      <w:bookmarkEnd w:id="870"/>
      <w:bookmarkStart w:id="871" w:name="_Toc340397647"/>
      <w:bookmarkEnd w:id="871"/>
      <w:bookmarkStart w:id="872" w:name="_Toc340397684"/>
      <w:bookmarkEnd w:id="872"/>
      <w:bookmarkStart w:id="873" w:name="_Toc340398103"/>
      <w:bookmarkEnd w:id="873"/>
      <w:bookmarkStart w:id="874" w:name="_Toc340398069"/>
      <w:bookmarkEnd w:id="874"/>
      <w:bookmarkStart w:id="875" w:name="_Toc340398026"/>
      <w:bookmarkEnd w:id="875"/>
      <w:bookmarkStart w:id="876" w:name="_Toc340397639"/>
      <w:bookmarkEnd w:id="876"/>
      <w:bookmarkStart w:id="877" w:name="_Toc340397657"/>
      <w:bookmarkEnd w:id="877"/>
      <w:bookmarkStart w:id="878" w:name="_Toc340398077"/>
      <w:bookmarkEnd w:id="878"/>
      <w:bookmarkStart w:id="879" w:name="_Toc340397699"/>
      <w:bookmarkEnd w:id="879"/>
      <w:bookmarkStart w:id="880" w:name="_Toc340398024"/>
      <w:bookmarkEnd w:id="880"/>
      <w:bookmarkStart w:id="881" w:name="_Toc340398090"/>
      <w:bookmarkEnd w:id="881"/>
      <w:bookmarkStart w:id="882" w:name="_Toc340398027"/>
      <w:bookmarkEnd w:id="882"/>
      <w:bookmarkStart w:id="883" w:name="_Toc340397651"/>
      <w:bookmarkEnd w:id="883"/>
      <w:bookmarkStart w:id="884" w:name="_Toc340397646"/>
      <w:bookmarkEnd w:id="884"/>
      <w:bookmarkStart w:id="885" w:name="_Toc340397735"/>
      <w:bookmarkEnd w:id="885"/>
      <w:bookmarkStart w:id="886" w:name="_Toc340398041"/>
      <w:bookmarkEnd w:id="886"/>
      <w:bookmarkStart w:id="887" w:name="_Toc340397672"/>
      <w:bookmarkEnd w:id="887"/>
      <w:bookmarkStart w:id="888" w:name="_Toc340397682"/>
      <w:bookmarkEnd w:id="888"/>
      <w:bookmarkStart w:id="889" w:name="_Toc340398113"/>
      <w:bookmarkEnd w:id="889"/>
      <w:bookmarkStart w:id="890" w:name="_Toc340397685"/>
      <w:bookmarkEnd w:id="890"/>
      <w:bookmarkStart w:id="891" w:name="_Toc340397669"/>
      <w:bookmarkEnd w:id="891"/>
      <w:bookmarkStart w:id="892" w:name="_Toc340397663"/>
      <w:bookmarkEnd w:id="892"/>
      <w:bookmarkStart w:id="893" w:name="_Toc340398032"/>
      <w:bookmarkEnd w:id="893"/>
      <w:bookmarkStart w:id="894" w:name="_Toc340397724"/>
      <w:bookmarkEnd w:id="894"/>
      <w:bookmarkStart w:id="895" w:name="_Toc340398106"/>
      <w:bookmarkEnd w:id="895"/>
      <w:bookmarkStart w:id="896" w:name="_Toc340397633"/>
      <w:bookmarkEnd w:id="896"/>
      <w:bookmarkStart w:id="897" w:name="_Toc340397627"/>
      <w:bookmarkEnd w:id="897"/>
      <w:bookmarkStart w:id="898" w:name="_Toc340397686"/>
      <w:bookmarkEnd w:id="898"/>
      <w:bookmarkStart w:id="899" w:name="_Toc340397637"/>
      <w:bookmarkEnd w:id="899"/>
      <w:bookmarkStart w:id="900" w:name="_Toc340398071"/>
      <w:bookmarkEnd w:id="900"/>
      <w:bookmarkStart w:id="901" w:name="_Toc340397654"/>
      <w:bookmarkEnd w:id="901"/>
      <w:bookmarkStart w:id="902" w:name="_Toc340397638"/>
      <w:bookmarkEnd w:id="902"/>
      <w:bookmarkStart w:id="903" w:name="_Toc340397634"/>
      <w:bookmarkEnd w:id="903"/>
      <w:bookmarkStart w:id="904" w:name="_Toc340397619"/>
      <w:bookmarkEnd w:id="904"/>
      <w:bookmarkStart w:id="905" w:name="_Toc340398117"/>
      <w:bookmarkEnd w:id="905"/>
      <w:bookmarkStart w:id="906" w:name="_Toc340397620"/>
      <w:bookmarkEnd w:id="906"/>
      <w:bookmarkStart w:id="907" w:name="_Toc340398114"/>
      <w:bookmarkEnd w:id="907"/>
      <w:bookmarkStart w:id="908" w:name="_Toc340398036"/>
      <w:bookmarkEnd w:id="908"/>
      <w:bookmarkStart w:id="909" w:name="_Toc340397716"/>
      <w:bookmarkEnd w:id="909"/>
      <w:bookmarkStart w:id="910" w:name="_Toc340398039"/>
      <w:bookmarkEnd w:id="910"/>
      <w:bookmarkStart w:id="911" w:name="_Toc340398102"/>
      <w:bookmarkEnd w:id="911"/>
      <w:bookmarkStart w:id="912" w:name="_Toc340398023"/>
      <w:bookmarkEnd w:id="912"/>
      <w:bookmarkStart w:id="913" w:name="_Toc340398033"/>
      <w:bookmarkEnd w:id="913"/>
      <w:bookmarkStart w:id="914" w:name="_Toc340397650"/>
      <w:bookmarkEnd w:id="914"/>
      <w:bookmarkStart w:id="915" w:name="_Toc340398028"/>
      <w:bookmarkEnd w:id="915"/>
      <w:bookmarkStart w:id="916" w:name="_Toc340397661"/>
      <w:bookmarkEnd w:id="916"/>
      <w:bookmarkStart w:id="917" w:name="_Toc340397725"/>
      <w:bookmarkEnd w:id="917"/>
      <w:bookmarkStart w:id="918" w:name="_Toc340398123"/>
      <w:bookmarkEnd w:id="918"/>
      <w:bookmarkStart w:id="919" w:name="_Toc340398061"/>
      <w:bookmarkEnd w:id="919"/>
      <w:bookmarkStart w:id="920" w:name="_Toc340397747"/>
      <w:bookmarkEnd w:id="920"/>
      <w:bookmarkStart w:id="921" w:name="_Toc340398054"/>
      <w:bookmarkEnd w:id="921"/>
      <w:bookmarkStart w:id="922" w:name="_Toc340398059"/>
      <w:bookmarkEnd w:id="922"/>
      <w:bookmarkStart w:id="923" w:name="_Toc340398051"/>
      <w:bookmarkEnd w:id="923"/>
      <w:bookmarkStart w:id="924" w:name="_Toc340397723"/>
      <w:bookmarkEnd w:id="924"/>
      <w:bookmarkStart w:id="925" w:name="_Toc340398010"/>
      <w:bookmarkEnd w:id="925"/>
      <w:bookmarkStart w:id="926" w:name="_Toc340397738"/>
      <w:bookmarkEnd w:id="926"/>
      <w:bookmarkStart w:id="927" w:name="_Toc340397659"/>
      <w:bookmarkEnd w:id="927"/>
      <w:bookmarkStart w:id="928" w:name="_Toc340397674"/>
      <w:bookmarkEnd w:id="928"/>
      <w:bookmarkStart w:id="929" w:name="_Toc340398043"/>
      <w:bookmarkEnd w:id="929"/>
      <w:bookmarkStart w:id="930" w:name="_Toc340397781"/>
      <w:bookmarkEnd w:id="930"/>
      <w:bookmarkStart w:id="931" w:name="_Toc340398104"/>
      <w:bookmarkEnd w:id="931"/>
      <w:bookmarkStart w:id="932" w:name="_DV_M472"/>
      <w:bookmarkEnd w:id="932"/>
      <w:bookmarkStart w:id="933" w:name="_Toc340398160"/>
      <w:bookmarkEnd w:id="933"/>
      <w:bookmarkStart w:id="934" w:name="_DV_M460"/>
      <w:bookmarkEnd w:id="934"/>
      <w:bookmarkStart w:id="935" w:name="_Toc340397612"/>
      <w:bookmarkEnd w:id="935"/>
      <w:bookmarkStart w:id="936" w:name="_Toc340398178"/>
      <w:bookmarkEnd w:id="936"/>
      <w:bookmarkStart w:id="937" w:name="_Toc340397720"/>
      <w:bookmarkEnd w:id="937"/>
      <w:bookmarkStart w:id="938" w:name="_Toc340398156"/>
      <w:bookmarkEnd w:id="938"/>
      <w:bookmarkStart w:id="939" w:name="_Toc340398053"/>
      <w:bookmarkEnd w:id="939"/>
      <w:bookmarkStart w:id="940" w:name="_Toc340398025"/>
      <w:bookmarkEnd w:id="940"/>
      <w:bookmarkStart w:id="941" w:name="_Toc340398012"/>
      <w:bookmarkEnd w:id="941"/>
      <w:bookmarkStart w:id="942" w:name="_Toc340397640"/>
      <w:bookmarkEnd w:id="942"/>
      <w:bookmarkStart w:id="943" w:name="_Toc340398121"/>
      <w:bookmarkEnd w:id="943"/>
      <w:bookmarkStart w:id="944" w:name="_Toc340397621"/>
      <w:bookmarkEnd w:id="944"/>
      <w:bookmarkStart w:id="945" w:name="_Toc340397744"/>
      <w:bookmarkEnd w:id="945"/>
      <w:bookmarkStart w:id="946" w:name="_Toc340398015"/>
      <w:bookmarkEnd w:id="946"/>
      <w:bookmarkStart w:id="947" w:name="_Toc340398145"/>
      <w:bookmarkEnd w:id="947"/>
      <w:bookmarkStart w:id="948" w:name="_Toc340398135"/>
      <w:bookmarkEnd w:id="948"/>
      <w:bookmarkStart w:id="949" w:name="_Toc340397719"/>
      <w:bookmarkEnd w:id="949"/>
      <w:bookmarkStart w:id="950" w:name="_Toc340397641"/>
      <w:bookmarkEnd w:id="950"/>
      <w:bookmarkStart w:id="951" w:name="_Toc340398143"/>
      <w:bookmarkEnd w:id="951"/>
      <w:bookmarkStart w:id="952" w:name="_Toc340398089"/>
      <w:bookmarkEnd w:id="952"/>
      <w:bookmarkStart w:id="953" w:name="_Toc340397748"/>
      <w:bookmarkEnd w:id="953"/>
      <w:bookmarkStart w:id="954" w:name="_Toc340398006"/>
      <w:bookmarkEnd w:id="954"/>
      <w:bookmarkStart w:id="955" w:name="_Toc340397785"/>
      <w:bookmarkEnd w:id="955"/>
      <w:bookmarkStart w:id="956" w:name="_Toc340398171"/>
      <w:bookmarkEnd w:id="956"/>
      <w:bookmarkStart w:id="957" w:name="_Toc340397761"/>
      <w:bookmarkEnd w:id="957"/>
      <w:bookmarkStart w:id="958" w:name="_Toc340398166"/>
      <w:bookmarkEnd w:id="958"/>
      <w:bookmarkStart w:id="959" w:name="_Toc340398152"/>
      <w:bookmarkEnd w:id="959"/>
      <w:bookmarkStart w:id="960" w:name="_Toc340397629"/>
      <w:bookmarkEnd w:id="960"/>
      <w:bookmarkStart w:id="961" w:name="_Toc340397704"/>
      <w:bookmarkEnd w:id="961"/>
      <w:bookmarkStart w:id="962" w:name="_Toc340397700"/>
      <w:bookmarkEnd w:id="962"/>
      <w:bookmarkStart w:id="963" w:name="_Toc340398169"/>
      <w:bookmarkEnd w:id="963"/>
      <w:bookmarkStart w:id="964" w:name="_Toc340397763"/>
      <w:bookmarkEnd w:id="964"/>
      <w:bookmarkStart w:id="965" w:name="_Toc340398020"/>
      <w:bookmarkEnd w:id="965"/>
      <w:bookmarkStart w:id="966" w:name="_Toc340397705"/>
      <w:bookmarkEnd w:id="966"/>
      <w:bookmarkStart w:id="967" w:name="_Toc340397745"/>
      <w:bookmarkEnd w:id="967"/>
      <w:bookmarkStart w:id="968" w:name="_Toc340397677"/>
      <w:bookmarkEnd w:id="968"/>
      <w:bookmarkStart w:id="969" w:name="_Toc340397698"/>
      <w:bookmarkEnd w:id="969"/>
      <w:bookmarkStart w:id="970" w:name="_Toc340398100"/>
      <w:bookmarkEnd w:id="970"/>
      <w:bookmarkStart w:id="971" w:name="_Toc340397741"/>
      <w:bookmarkEnd w:id="971"/>
      <w:bookmarkStart w:id="972" w:name="_Toc340397779"/>
      <w:bookmarkEnd w:id="972"/>
      <w:bookmarkStart w:id="973" w:name="_Toc340398073"/>
      <w:bookmarkEnd w:id="973"/>
      <w:bookmarkStart w:id="974" w:name="_Toc340398170"/>
      <w:bookmarkEnd w:id="974"/>
      <w:bookmarkStart w:id="975" w:name="_Toc340398153"/>
      <w:bookmarkEnd w:id="975"/>
      <w:bookmarkStart w:id="976" w:name="_Toc340398086"/>
      <w:bookmarkEnd w:id="976"/>
      <w:bookmarkStart w:id="977" w:name="_Toc340397683"/>
      <w:bookmarkEnd w:id="977"/>
      <w:bookmarkStart w:id="978" w:name="_Toc340397758"/>
      <w:bookmarkEnd w:id="978"/>
      <w:bookmarkStart w:id="979" w:name="_Toc340397756"/>
      <w:bookmarkEnd w:id="979"/>
      <w:bookmarkStart w:id="980" w:name="_Toc204504297"/>
      <w:bookmarkEnd w:id="980"/>
      <w:bookmarkStart w:id="981" w:name="_Toc340397692"/>
      <w:bookmarkEnd w:id="981"/>
      <w:bookmarkStart w:id="982" w:name="_Toc340398140"/>
      <w:bookmarkEnd w:id="982"/>
      <w:bookmarkStart w:id="983" w:name="_Toc340397775"/>
      <w:bookmarkEnd w:id="983"/>
      <w:bookmarkStart w:id="984" w:name="_Toc340397749"/>
      <w:bookmarkEnd w:id="984"/>
      <w:bookmarkStart w:id="985" w:name="_DV_M469"/>
      <w:bookmarkEnd w:id="985"/>
      <w:bookmarkStart w:id="986" w:name="_Toc340397707"/>
      <w:bookmarkEnd w:id="986"/>
      <w:bookmarkStart w:id="987" w:name="_Toc340397770"/>
      <w:bookmarkEnd w:id="987"/>
      <w:bookmarkStart w:id="988" w:name="_Toc340397730"/>
      <w:bookmarkEnd w:id="988"/>
      <w:bookmarkStart w:id="989" w:name="_Toc340397732"/>
      <w:bookmarkEnd w:id="989"/>
      <w:bookmarkStart w:id="990" w:name="_Toc340398019"/>
      <w:bookmarkEnd w:id="990"/>
      <w:bookmarkStart w:id="991" w:name="_Toc340397782"/>
      <w:bookmarkEnd w:id="991"/>
      <w:bookmarkStart w:id="992" w:name="_Toc340398158"/>
      <w:bookmarkEnd w:id="992"/>
      <w:bookmarkStart w:id="993" w:name="_Toc340397680"/>
      <w:bookmarkEnd w:id="993"/>
      <w:bookmarkStart w:id="994" w:name="_Toc340398179"/>
      <w:bookmarkEnd w:id="994"/>
      <w:bookmarkStart w:id="995" w:name="_Toc340398040"/>
      <w:bookmarkEnd w:id="995"/>
      <w:bookmarkStart w:id="996" w:name="_Toc340397776"/>
      <w:bookmarkEnd w:id="996"/>
      <w:bookmarkStart w:id="997" w:name="_Toc340398130"/>
      <w:bookmarkEnd w:id="997"/>
      <w:bookmarkStart w:id="998" w:name="_Toc340398148"/>
      <w:bookmarkEnd w:id="998"/>
      <w:bookmarkStart w:id="999" w:name="_Toc340398161"/>
      <w:bookmarkEnd w:id="999"/>
      <w:bookmarkStart w:id="1000" w:name="_Toc340397755"/>
      <w:bookmarkEnd w:id="1000"/>
      <w:bookmarkStart w:id="1001" w:name="_Toc340398091"/>
      <w:bookmarkEnd w:id="1001"/>
      <w:bookmarkStart w:id="1002" w:name="_Toc340397722"/>
      <w:bookmarkEnd w:id="1002"/>
      <w:bookmarkStart w:id="1003" w:name="_Toc340398133"/>
      <w:bookmarkEnd w:id="1003"/>
      <w:bookmarkStart w:id="1004" w:name="_Toc340397780"/>
      <w:bookmarkEnd w:id="1004"/>
      <w:bookmarkStart w:id="1005" w:name="_Toc340397746"/>
      <w:bookmarkEnd w:id="1005"/>
      <w:bookmarkStart w:id="1006" w:name="_DV_M465"/>
      <w:bookmarkEnd w:id="1006"/>
      <w:bookmarkStart w:id="1007" w:name="_Toc340398177"/>
      <w:bookmarkEnd w:id="1007"/>
      <w:bookmarkStart w:id="1008" w:name="_DV_M470"/>
      <w:bookmarkEnd w:id="1008"/>
      <w:bookmarkStart w:id="1009" w:name="_Toc340397709"/>
      <w:bookmarkEnd w:id="1009"/>
      <w:bookmarkStart w:id="1010" w:name="_Toc340398124"/>
      <w:bookmarkEnd w:id="1010"/>
      <w:bookmarkStart w:id="1011" w:name="_Toc110370867"/>
      <w:bookmarkEnd w:id="1011"/>
      <w:bookmarkStart w:id="1012" w:name="_Toc340397731"/>
      <w:bookmarkEnd w:id="1012"/>
      <w:bookmarkStart w:id="1013" w:name="_Toc340397739"/>
      <w:bookmarkEnd w:id="1013"/>
      <w:bookmarkStart w:id="1014" w:name="_Toc204504296"/>
      <w:bookmarkEnd w:id="1014"/>
      <w:bookmarkStart w:id="1015" w:name="_Toc340398141"/>
      <w:bookmarkEnd w:id="1015"/>
      <w:bookmarkStart w:id="1016" w:name="_Toc340396533"/>
      <w:bookmarkEnd w:id="1016"/>
      <w:bookmarkStart w:id="1017" w:name="_Toc340397712"/>
      <w:bookmarkEnd w:id="1017"/>
      <w:bookmarkStart w:id="1018" w:name="_DV_M464"/>
      <w:bookmarkEnd w:id="1018"/>
      <w:bookmarkStart w:id="1019" w:name="_Toc340397777"/>
      <w:bookmarkEnd w:id="1019"/>
      <w:bookmarkStart w:id="1020" w:name="_Toc340398108"/>
      <w:bookmarkEnd w:id="1020"/>
      <w:bookmarkStart w:id="1021" w:name="_Toc340397726"/>
      <w:bookmarkEnd w:id="1021"/>
      <w:bookmarkStart w:id="1022" w:name="_Toc340398174"/>
      <w:bookmarkEnd w:id="1022"/>
      <w:bookmarkStart w:id="1023" w:name="_Toc340397715"/>
      <w:bookmarkEnd w:id="1023"/>
      <w:bookmarkStart w:id="1024" w:name="_Toc340397783"/>
      <w:bookmarkEnd w:id="1024"/>
      <w:bookmarkStart w:id="1025" w:name="_Toc340397765"/>
      <w:bookmarkEnd w:id="1025"/>
      <w:bookmarkStart w:id="1026" w:name="_Toc204504299"/>
      <w:bookmarkEnd w:id="1026"/>
      <w:bookmarkStart w:id="1027" w:name="_Toc340398150"/>
      <w:bookmarkEnd w:id="1027"/>
      <w:bookmarkStart w:id="1028" w:name="_Toc340398098"/>
      <w:bookmarkEnd w:id="1028"/>
      <w:bookmarkStart w:id="1029" w:name="_Toc340398125"/>
      <w:bookmarkEnd w:id="1029"/>
      <w:bookmarkStart w:id="1030" w:name="_Toc340397727"/>
      <w:bookmarkEnd w:id="1030"/>
      <w:bookmarkStart w:id="1031" w:name="_Toc340397652"/>
      <w:bookmarkEnd w:id="1031"/>
      <w:bookmarkStart w:id="1032" w:name="_Toc340397721"/>
      <w:bookmarkEnd w:id="1032"/>
      <w:bookmarkStart w:id="1033" w:name="_Toc340397773"/>
      <w:bookmarkEnd w:id="1033"/>
      <w:bookmarkStart w:id="1034" w:name="_Toc340398112"/>
      <w:bookmarkEnd w:id="1034"/>
      <w:bookmarkStart w:id="1035" w:name="_DV_M494"/>
      <w:bookmarkEnd w:id="1035"/>
      <w:bookmarkStart w:id="1036" w:name="_Toc340397762"/>
      <w:bookmarkEnd w:id="1036"/>
      <w:bookmarkStart w:id="1037" w:name="_Toc340397760"/>
      <w:bookmarkEnd w:id="1037"/>
      <w:bookmarkStart w:id="1038" w:name="_DV_M468"/>
      <w:bookmarkEnd w:id="1038"/>
      <w:bookmarkStart w:id="1039" w:name="_Toc340398092"/>
      <w:bookmarkEnd w:id="1039"/>
      <w:bookmarkStart w:id="1040" w:name="_Toc340397697"/>
      <w:bookmarkEnd w:id="1040"/>
      <w:bookmarkStart w:id="1041" w:name="_Toc340397734"/>
      <w:bookmarkEnd w:id="1041"/>
      <w:bookmarkStart w:id="1042" w:name="_Toc340398162"/>
      <w:bookmarkEnd w:id="1042"/>
      <w:bookmarkStart w:id="1043" w:name="_DV_M490"/>
      <w:bookmarkEnd w:id="1043"/>
      <w:bookmarkStart w:id="1044" w:name="_Toc340398115"/>
      <w:bookmarkEnd w:id="1044"/>
      <w:bookmarkStart w:id="1045" w:name="_Toc340397751"/>
      <w:bookmarkEnd w:id="1045"/>
      <w:bookmarkStart w:id="1046" w:name="_Toc340398149"/>
      <w:bookmarkEnd w:id="1046"/>
      <w:bookmarkStart w:id="1047" w:name="_Toc340398093"/>
      <w:bookmarkEnd w:id="1047"/>
      <w:bookmarkStart w:id="1048" w:name="_Toc340398147"/>
      <w:bookmarkEnd w:id="1048"/>
      <w:bookmarkStart w:id="1049" w:name="_Toc340397772"/>
      <w:bookmarkEnd w:id="1049"/>
      <w:bookmarkStart w:id="1050" w:name="_Toc340398126"/>
      <w:bookmarkEnd w:id="1050"/>
      <w:bookmarkStart w:id="1051" w:name="_Toc340398109"/>
      <w:bookmarkEnd w:id="1051"/>
      <w:bookmarkStart w:id="1052" w:name="_Toc340397702"/>
      <w:bookmarkEnd w:id="1052"/>
      <w:bookmarkStart w:id="1053" w:name="_Toc340397713"/>
      <w:bookmarkEnd w:id="1053"/>
      <w:bookmarkStart w:id="1054" w:name="_Toc340397788"/>
      <w:bookmarkEnd w:id="1054"/>
      <w:bookmarkStart w:id="1055" w:name="_Toc340398105"/>
      <w:bookmarkEnd w:id="1055"/>
      <w:bookmarkStart w:id="1056" w:name="_DV_M480"/>
      <w:bookmarkEnd w:id="1056"/>
      <w:bookmarkStart w:id="1057" w:name="_Toc340397717"/>
      <w:bookmarkEnd w:id="1057"/>
      <w:bookmarkStart w:id="1058" w:name="_Toc111281804"/>
      <w:bookmarkStart w:id="1059" w:name="_Toc201569430"/>
      <w:bookmarkStart w:id="1060" w:name="_Toc110153447"/>
    </w:p>
    <w:bookmarkEnd w:id="1058"/>
    <w:bookmarkEnd w:id="1059"/>
    <w:bookmarkEnd w:id="1060"/>
    <w:p w14:paraId="2F349FD9">
      <w:pPr>
        <w:numPr>
          <w:ilvl w:val="0"/>
          <w:numId w:val="7"/>
        </w:numPr>
        <w:spacing w:line="360" w:lineRule="auto"/>
        <w:outlineLvl w:val="0"/>
        <w:rPr>
          <w:rFonts w:eastAsia="楷体_GB2312"/>
          <w:b/>
          <w:color w:val="000000"/>
          <w:sz w:val="24"/>
        </w:rPr>
      </w:pPr>
      <w:bookmarkStart w:id="1061" w:name="_Toc219654277"/>
      <w:bookmarkEnd w:id="1061"/>
      <w:bookmarkStart w:id="1062" w:name="_Toc219654348"/>
      <w:bookmarkEnd w:id="1062"/>
      <w:bookmarkStart w:id="1063" w:name="_Toc106417386"/>
      <w:bookmarkEnd w:id="1063"/>
      <w:bookmarkStart w:id="1064" w:name="_Toc106417388"/>
      <w:bookmarkEnd w:id="1064"/>
      <w:bookmarkStart w:id="1065" w:name="_Toc106417389"/>
      <w:bookmarkEnd w:id="1065"/>
      <w:bookmarkStart w:id="1066" w:name="_Toc106417387"/>
      <w:bookmarkEnd w:id="1066"/>
      <w:bookmarkStart w:id="1067" w:name="_Toc219710682"/>
      <w:bookmarkStart w:id="1068" w:name="_Toc225538163"/>
      <w:bookmarkStart w:id="1069" w:name="_Toc92612934"/>
      <w:r>
        <w:rPr>
          <w:rFonts w:eastAsia="楷体_GB2312"/>
          <w:b/>
          <w:color w:val="000000"/>
          <w:sz w:val="24"/>
        </w:rPr>
        <w:t>受托人的更换</w:t>
      </w:r>
      <w:bookmarkEnd w:id="1067"/>
      <w:bookmarkEnd w:id="1068"/>
    </w:p>
    <w:bookmarkEnd w:id="1069"/>
    <w:p w14:paraId="10E51383">
      <w:pPr>
        <w:numPr>
          <w:ilvl w:val="1"/>
          <w:numId w:val="7"/>
        </w:numPr>
        <w:spacing w:line="360" w:lineRule="auto"/>
        <w:rPr>
          <w:rFonts w:eastAsia="楷体_GB2312"/>
          <w:b/>
          <w:color w:val="000000"/>
          <w:sz w:val="24"/>
        </w:rPr>
      </w:pPr>
      <w:bookmarkStart w:id="1070" w:name="_Toc152168738"/>
      <w:bookmarkStart w:id="1071" w:name="_Ref182904705"/>
      <w:bookmarkStart w:id="1072" w:name="_Toc151554347"/>
      <w:bookmarkStart w:id="1073" w:name="_Toc152168182"/>
      <w:bookmarkStart w:id="1074" w:name="_Ref347324160"/>
      <w:bookmarkStart w:id="1075" w:name="_Ref110227113"/>
      <w:r>
        <w:rPr>
          <w:rFonts w:eastAsia="楷体_GB2312"/>
          <w:b/>
          <w:color w:val="000000"/>
          <w:sz w:val="24"/>
        </w:rPr>
        <w:t>受托人的辞任</w:t>
      </w:r>
      <w:bookmarkEnd w:id="1070"/>
      <w:bookmarkEnd w:id="1071"/>
      <w:bookmarkEnd w:id="1072"/>
      <w:bookmarkEnd w:id="1073"/>
      <w:bookmarkEnd w:id="1074"/>
    </w:p>
    <w:p w14:paraId="3F2A4D99">
      <w:pPr>
        <w:spacing w:line="360" w:lineRule="auto"/>
        <w:ind w:left="992"/>
        <w:rPr>
          <w:rFonts w:eastAsia="楷体_GB2312"/>
          <w:b/>
          <w:color w:val="000000"/>
          <w:sz w:val="24"/>
          <w:lang w:val="en-GB"/>
        </w:rPr>
      </w:pPr>
      <w:r>
        <w:rPr>
          <w:rFonts w:eastAsia="楷体_GB2312"/>
          <w:color w:val="000000"/>
          <w:sz w:val="24"/>
        </w:rPr>
        <w:t>除非</w:t>
      </w:r>
      <w:r>
        <w:rPr>
          <w:rFonts w:eastAsia="楷体_GB2312"/>
          <w:bCs/>
          <w:color w:val="000000"/>
          <w:sz w:val="24"/>
        </w:rPr>
        <w:t>“</w:t>
      </w:r>
      <w:r>
        <w:rPr>
          <w:rFonts w:eastAsia="楷体_GB2312"/>
          <w:color w:val="000000"/>
          <w:sz w:val="24"/>
        </w:rPr>
        <w:t>中国”“法律”另有规定或“交易文件”另有约定，“受托人”可于任何时候</w:t>
      </w:r>
      <w:r>
        <w:rPr>
          <w:rFonts w:eastAsia="楷体_GB2312"/>
          <w:color w:val="000000"/>
          <w:w w:val="0"/>
          <w:sz w:val="24"/>
          <w:lang w:val="en-GB"/>
        </w:rPr>
        <w:t>按照本合同约定书面通知本合同其他方以及“评级机构”提出辞任，但应符合如下条件：(1)该辞任须经“委托人”的书面同意和“资产支持证券持有人大会”的批准；(2)“受托人”已推荐了符合“受托人合格标准”并愿意按照本合同的条款担任“受托人”的继任机构，并且“资产支持证券持有人大会”已经书面批准对该继任“受托人”的任命。</w:t>
      </w:r>
    </w:p>
    <w:p w14:paraId="54EFCB96">
      <w:pPr>
        <w:numPr>
          <w:ilvl w:val="1"/>
          <w:numId w:val="7"/>
        </w:numPr>
        <w:spacing w:line="360" w:lineRule="auto"/>
        <w:rPr>
          <w:rFonts w:eastAsia="楷体_GB2312"/>
          <w:b/>
          <w:color w:val="000000"/>
          <w:sz w:val="24"/>
        </w:rPr>
      </w:pPr>
      <w:bookmarkStart w:id="1076" w:name="_Ref182904708"/>
      <w:bookmarkStart w:id="1077" w:name="_Ref182904582"/>
      <w:r>
        <w:rPr>
          <w:rFonts w:eastAsia="楷体_GB2312"/>
          <w:b/>
          <w:color w:val="000000"/>
          <w:sz w:val="24"/>
        </w:rPr>
        <w:t>受托人的解任</w:t>
      </w:r>
      <w:bookmarkEnd w:id="1076"/>
      <w:bookmarkEnd w:id="1077"/>
    </w:p>
    <w:p w14:paraId="0E620DA4">
      <w:pPr>
        <w:spacing w:line="360" w:lineRule="auto"/>
        <w:ind w:left="992"/>
        <w:rPr>
          <w:rFonts w:eastAsia="楷体_GB2312"/>
          <w:color w:val="000000"/>
          <w:w w:val="0"/>
          <w:sz w:val="24"/>
          <w:lang w:val="en-GB"/>
        </w:rPr>
      </w:pPr>
      <w:r>
        <w:rPr>
          <w:rFonts w:eastAsia="楷体_GB2312"/>
          <w:color w:val="000000"/>
          <w:w w:val="0"/>
          <w:sz w:val="24"/>
          <w:lang w:val="en-GB"/>
        </w:rPr>
        <w:t>如发生“受托人解任事件”，“受托人”应立即书面通知本合同其他方、“评级机构”以及“资产支持证券持有人”，“资产支持证券持有人大会”有权解任“受托人”并书面通知“受托人”（并抄送本合同其他方），在不违反本合同第</w:t>
      </w:r>
      <w:r>
        <w:rPr>
          <w:rFonts w:eastAsia="楷体_GB2312"/>
          <w:color w:val="000000"/>
        </w:rPr>
        <w:fldChar w:fldCharType="begin"/>
      </w:r>
      <w:r>
        <w:rPr>
          <w:rFonts w:eastAsia="楷体_GB2312"/>
          <w:color w:val="000000"/>
          <w:w w:val="0"/>
          <w:sz w:val="24"/>
          <w:lang w:val="en-GB"/>
        </w:rPr>
        <w:instrText xml:space="preserve"> REF _Ref182904509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w w:val="0"/>
          <w:sz w:val="24"/>
          <w:lang w:val="en-GB"/>
        </w:rPr>
        <w:t>15.3.3</w:t>
      </w:r>
      <w:r>
        <w:rPr>
          <w:rFonts w:eastAsia="楷体_GB2312"/>
          <w:color w:val="000000"/>
        </w:rPr>
        <w:fldChar w:fldCharType="end"/>
      </w:r>
      <w:r>
        <w:rPr>
          <w:rFonts w:eastAsia="楷体_GB2312"/>
          <w:color w:val="000000"/>
          <w:w w:val="0"/>
          <w:sz w:val="24"/>
          <w:lang w:val="en-GB"/>
        </w:rPr>
        <w:t>款之约定的前提下，该解任自通知确定的日期（但不得早于通知的日期）起生效。</w:t>
      </w:r>
    </w:p>
    <w:p w14:paraId="62B1FF61">
      <w:pPr>
        <w:numPr>
          <w:ilvl w:val="1"/>
          <w:numId w:val="7"/>
        </w:numPr>
        <w:spacing w:line="360" w:lineRule="auto"/>
        <w:rPr>
          <w:rFonts w:eastAsia="楷体_GB2312"/>
          <w:b/>
          <w:color w:val="000000"/>
          <w:sz w:val="24"/>
        </w:rPr>
      </w:pPr>
      <w:r>
        <w:rPr>
          <w:rFonts w:eastAsia="楷体_GB2312"/>
          <w:b/>
          <w:color w:val="000000"/>
          <w:sz w:val="24"/>
        </w:rPr>
        <w:t>继任受托人的委任</w:t>
      </w:r>
    </w:p>
    <w:p w14:paraId="619F0BEC">
      <w:pPr>
        <w:numPr>
          <w:ilvl w:val="2"/>
          <w:numId w:val="7"/>
        </w:numPr>
        <w:spacing w:line="360" w:lineRule="auto"/>
        <w:ind w:left="1701" w:hanging="708"/>
        <w:rPr>
          <w:rFonts w:eastAsia="楷体_GB2312"/>
          <w:color w:val="000000"/>
          <w:w w:val="0"/>
          <w:sz w:val="24"/>
        </w:rPr>
      </w:pPr>
      <w:bookmarkStart w:id="1078" w:name="_Ref182904633"/>
      <w:r>
        <w:rPr>
          <w:rFonts w:eastAsia="楷体_GB2312"/>
          <w:color w:val="000000"/>
          <w:sz w:val="24"/>
        </w:rPr>
        <w:t>根据</w:t>
      </w:r>
      <w:r>
        <w:rPr>
          <w:rFonts w:eastAsia="楷体_GB2312"/>
          <w:color w:val="000000"/>
          <w:w w:val="0"/>
          <w:sz w:val="24"/>
        </w:rPr>
        <w:t>上述第</w:t>
      </w:r>
      <w:r>
        <w:rPr>
          <w:rFonts w:eastAsia="楷体_GB2312"/>
          <w:color w:val="000000"/>
        </w:rPr>
        <w:fldChar w:fldCharType="begin"/>
      </w:r>
      <w:r>
        <w:rPr>
          <w:rFonts w:eastAsia="楷体_GB2312"/>
          <w:color w:val="000000"/>
          <w:w w:val="0"/>
          <w:sz w:val="24"/>
        </w:rPr>
        <w:instrText xml:space="preserve"> REF _Ref182904582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w w:val="0"/>
          <w:sz w:val="24"/>
        </w:rPr>
        <w:t>15.2</w:t>
      </w:r>
      <w:r>
        <w:rPr>
          <w:rFonts w:eastAsia="楷体_GB2312"/>
          <w:color w:val="000000"/>
        </w:rPr>
        <w:fldChar w:fldCharType="end"/>
      </w:r>
      <w:r>
        <w:rPr>
          <w:rFonts w:eastAsia="楷体_GB2312"/>
          <w:color w:val="000000"/>
          <w:w w:val="0"/>
          <w:sz w:val="24"/>
        </w:rPr>
        <w:t>款的约定解任“受托人”后，“资产支持证券持有人大会”应立即任命符合“受托人合格标准”并愿意担任“受托人”的继任“受托人”。“受托人”应立即将对该继任“受托人”的任命通知本</w:t>
      </w:r>
      <w:r>
        <w:rPr>
          <w:rFonts w:eastAsia="楷体_GB2312"/>
          <w:color w:val="000000"/>
          <w:sz w:val="24"/>
        </w:rPr>
        <w:t>合同相</w:t>
      </w:r>
      <w:r>
        <w:rPr>
          <w:rFonts w:eastAsia="楷体_GB2312"/>
          <w:color w:val="000000"/>
          <w:w w:val="0"/>
          <w:sz w:val="24"/>
        </w:rPr>
        <w:t>对方、“资产支持证券持有人”以及“评级机构”等其他各相关方。在继任“受托人”接受该任命之前，“受托人”的任何辞任或解任均不得生效。</w:t>
      </w:r>
      <w:bookmarkEnd w:id="1078"/>
    </w:p>
    <w:p w14:paraId="2D9934DA">
      <w:pPr>
        <w:numPr>
          <w:ilvl w:val="2"/>
          <w:numId w:val="7"/>
        </w:numPr>
        <w:spacing w:line="360" w:lineRule="auto"/>
        <w:ind w:left="1701" w:hanging="708"/>
        <w:rPr>
          <w:rFonts w:eastAsia="楷体_GB2312"/>
          <w:color w:val="000000"/>
          <w:w w:val="0"/>
        </w:rPr>
      </w:pPr>
      <w:bookmarkStart w:id="1079" w:name="_DV_M532"/>
      <w:bookmarkEnd w:id="1079"/>
      <w:r>
        <w:rPr>
          <w:rFonts w:eastAsia="楷体_GB2312"/>
          <w:color w:val="000000"/>
          <w:sz w:val="24"/>
        </w:rPr>
        <w:t>如果</w:t>
      </w:r>
      <w:r>
        <w:rPr>
          <w:rFonts w:eastAsia="楷体_GB2312"/>
          <w:color w:val="000000"/>
          <w:w w:val="0"/>
          <w:sz w:val="24"/>
        </w:rPr>
        <w:t>因“受托人”发生任何“丧失清偿能力事件”中的任何一项或丧失“受托人合格标准”而解任“受托人”的，在根据上述第</w:t>
      </w:r>
      <w:r>
        <w:rPr>
          <w:rFonts w:eastAsia="楷体_GB2312"/>
          <w:color w:val="000000"/>
        </w:rPr>
        <w:fldChar w:fldCharType="begin"/>
      </w:r>
      <w:r>
        <w:rPr>
          <w:rFonts w:eastAsia="楷体_GB2312"/>
          <w:color w:val="000000"/>
          <w:w w:val="0"/>
          <w:sz w:val="24"/>
        </w:rPr>
        <w:instrText xml:space="preserve"> REF _Ref182904633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w w:val="0"/>
          <w:sz w:val="24"/>
        </w:rPr>
        <w:t>15.3.1</w:t>
      </w:r>
      <w:r>
        <w:rPr>
          <w:rFonts w:eastAsia="楷体_GB2312"/>
          <w:color w:val="000000"/>
        </w:rPr>
        <w:fldChar w:fldCharType="end"/>
      </w:r>
      <w:r>
        <w:rPr>
          <w:rFonts w:eastAsia="楷体_GB2312"/>
          <w:color w:val="000000"/>
          <w:w w:val="0"/>
          <w:sz w:val="24"/>
        </w:rPr>
        <w:t>款的约定任命继任“受托人”以前，由届时“</w:t>
      </w:r>
      <w:r>
        <w:rPr>
          <w:rFonts w:eastAsia="楷体_GB2312"/>
          <w:sz w:val="24"/>
        </w:rPr>
        <w:t>监管部门</w:t>
      </w:r>
      <w:r>
        <w:rPr>
          <w:rFonts w:eastAsia="楷体_GB2312"/>
          <w:color w:val="000000"/>
          <w:w w:val="0"/>
          <w:sz w:val="24"/>
        </w:rPr>
        <w:t>”指定的临时“受托人”（如有），代为履行“受托人”在“《信托合同》”及其他“交易文件”项下的职责</w:t>
      </w:r>
      <w:r>
        <w:rPr>
          <w:rFonts w:eastAsia="楷体_GB2312"/>
          <w:bCs/>
          <w:color w:val="000000"/>
          <w:w w:val="0"/>
          <w:sz w:val="24"/>
        </w:rPr>
        <w:t>。</w:t>
      </w:r>
    </w:p>
    <w:p w14:paraId="698D5A0C">
      <w:pPr>
        <w:numPr>
          <w:ilvl w:val="2"/>
          <w:numId w:val="7"/>
        </w:numPr>
        <w:spacing w:line="360" w:lineRule="auto"/>
        <w:ind w:left="1701" w:hanging="708"/>
        <w:rPr>
          <w:rFonts w:eastAsia="楷体_GB2312"/>
          <w:color w:val="000000"/>
          <w:w w:val="0"/>
          <w:sz w:val="24"/>
        </w:rPr>
      </w:pPr>
      <w:bookmarkStart w:id="1080" w:name="_DV_M534"/>
      <w:bookmarkEnd w:id="1080"/>
      <w:bookmarkStart w:id="1081" w:name="_DV_M533"/>
      <w:bookmarkEnd w:id="1081"/>
      <w:bookmarkStart w:id="1082" w:name="_Ref182904509"/>
      <w:r>
        <w:rPr>
          <w:rFonts w:eastAsia="楷体_GB2312"/>
          <w:color w:val="000000"/>
          <w:w w:val="0"/>
          <w:sz w:val="24"/>
        </w:rPr>
        <w:t>继任</w:t>
      </w:r>
      <w:r>
        <w:rPr>
          <w:rFonts w:eastAsia="楷体_GB2312"/>
          <w:color w:val="000000"/>
          <w:sz w:val="24"/>
        </w:rPr>
        <w:t>“受托人”应</w:t>
      </w:r>
      <w:r>
        <w:rPr>
          <w:rFonts w:eastAsia="楷体_GB2312"/>
          <w:color w:val="000000"/>
          <w:w w:val="0"/>
          <w:sz w:val="24"/>
        </w:rPr>
        <w:t>签署并向“委托人”、其前任“受托人”以及“资产支持证券持有人大会”交付其接受委任的书面文件，原“受托人”的辞任或解任在继任</w:t>
      </w:r>
      <w:r>
        <w:rPr>
          <w:rFonts w:eastAsia="楷体_GB2312"/>
          <w:color w:val="000000"/>
          <w:sz w:val="24"/>
        </w:rPr>
        <w:t>“受托人”应</w:t>
      </w:r>
      <w:r>
        <w:rPr>
          <w:rFonts w:eastAsia="楷体_GB2312"/>
          <w:color w:val="000000"/>
          <w:w w:val="0"/>
          <w:sz w:val="24"/>
        </w:rPr>
        <w:t>签署并交付该等书面文件后立即生效，且继任“受托人”无需采取进一步的行动，即自动享有并承担其前任“受托人”在本合同以及其前任“受托人”作为一方的其他“交易文件”项下的全部权利、权力、职责和义务。</w:t>
      </w:r>
      <w:bookmarkEnd w:id="1082"/>
    </w:p>
    <w:p w14:paraId="6EC469CE">
      <w:pPr>
        <w:numPr>
          <w:ilvl w:val="2"/>
          <w:numId w:val="7"/>
        </w:numPr>
        <w:spacing w:line="360" w:lineRule="auto"/>
        <w:ind w:left="1701" w:hanging="708"/>
        <w:rPr>
          <w:rFonts w:eastAsia="楷体_GB2312"/>
          <w:color w:val="000000"/>
          <w:w w:val="0"/>
        </w:rPr>
      </w:pPr>
      <w:bookmarkStart w:id="1083" w:name="_DV_M535"/>
      <w:bookmarkEnd w:id="1083"/>
      <w:r>
        <w:rPr>
          <w:rFonts w:eastAsia="楷体_GB2312"/>
          <w:color w:val="000000"/>
          <w:w w:val="0"/>
          <w:sz w:val="24"/>
        </w:rPr>
        <w:t>辞任或被解任的“受托人”在辞任或被解任后应：(1)立即签署并交付形式和内容符合继任“受托人”和“资产支持证券持有人大会”要求的书面文件，向继任“受托人”完全转让（以及确认前述转让）该辞任或被解任“受托人”的全部权利、权力、职责和义务；(2)向继任“受托人”转让并交付“信托财产”以及该辞任或被解任“受托人”根据本合同及其他“交易文件”持有的全部其他财产和金钱；(3)向继任“受托人”或“贷款服务机构”（作为继任“受托人”的代理人）转让并交付“账户记录”；以及(4)采取一切必要的或被合理要求的行动完善向继任“受托人”转让相应财产和金钱的行为。</w:t>
      </w:r>
    </w:p>
    <w:p w14:paraId="001BEFD0">
      <w:pPr>
        <w:numPr>
          <w:ilvl w:val="1"/>
          <w:numId w:val="7"/>
        </w:numPr>
        <w:spacing w:line="360" w:lineRule="auto"/>
        <w:rPr>
          <w:rFonts w:eastAsia="楷体_GB2312"/>
          <w:b/>
          <w:color w:val="000000"/>
          <w:sz w:val="24"/>
        </w:rPr>
      </w:pPr>
      <w:bookmarkStart w:id="1084" w:name="_DV_M536"/>
      <w:bookmarkEnd w:id="1084"/>
      <w:r>
        <w:rPr>
          <w:rFonts w:eastAsia="楷体_GB2312"/>
          <w:b/>
          <w:color w:val="000000"/>
          <w:sz w:val="24"/>
        </w:rPr>
        <w:t>费用和支出的负担</w:t>
      </w:r>
    </w:p>
    <w:p w14:paraId="4ACBA84C">
      <w:pPr>
        <w:spacing w:line="360" w:lineRule="auto"/>
        <w:ind w:left="992"/>
        <w:rPr>
          <w:rFonts w:eastAsia="楷体_GB2312"/>
          <w:color w:val="000000"/>
          <w:sz w:val="24"/>
        </w:rPr>
      </w:pPr>
      <w:r>
        <w:rPr>
          <w:rFonts w:eastAsia="楷体_GB2312"/>
          <w:color w:val="000000"/>
          <w:w w:val="0"/>
          <w:sz w:val="24"/>
          <w:lang w:val="en-GB"/>
        </w:rPr>
        <w:t>“受托人”根据本合同第</w:t>
      </w:r>
      <w:r>
        <w:rPr>
          <w:rFonts w:eastAsia="楷体_GB2312"/>
          <w:color w:val="000000"/>
        </w:rPr>
        <w:fldChar w:fldCharType="begin"/>
      </w:r>
      <w:r>
        <w:rPr>
          <w:rFonts w:eastAsia="楷体_GB2312"/>
          <w:color w:val="000000"/>
          <w:w w:val="0"/>
          <w:sz w:val="24"/>
          <w:lang w:val="en-GB"/>
        </w:rPr>
        <w:instrText xml:space="preserve"> REF _Ref347324160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w w:val="0"/>
          <w:sz w:val="24"/>
          <w:lang w:val="en-GB"/>
        </w:rPr>
        <w:t>15.1</w:t>
      </w:r>
      <w:r>
        <w:rPr>
          <w:rFonts w:eastAsia="楷体_GB2312"/>
          <w:color w:val="000000"/>
        </w:rPr>
        <w:fldChar w:fldCharType="end"/>
      </w:r>
      <w:r>
        <w:rPr>
          <w:rFonts w:eastAsia="楷体_GB2312"/>
          <w:color w:val="000000"/>
          <w:w w:val="0"/>
          <w:sz w:val="24"/>
          <w:lang w:val="en-GB"/>
        </w:rPr>
        <w:t>款辞任或根据第</w:t>
      </w:r>
      <w:r>
        <w:rPr>
          <w:rFonts w:eastAsia="楷体_GB2312"/>
          <w:color w:val="000000"/>
        </w:rPr>
        <w:fldChar w:fldCharType="begin"/>
      </w:r>
      <w:r>
        <w:rPr>
          <w:rFonts w:eastAsia="楷体_GB2312"/>
          <w:color w:val="000000"/>
          <w:w w:val="0"/>
          <w:sz w:val="24"/>
          <w:lang w:val="en-GB"/>
        </w:rPr>
        <w:instrText xml:space="preserve"> REF _Ref182904582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w w:val="0"/>
          <w:sz w:val="24"/>
          <w:lang w:val="en-GB"/>
        </w:rPr>
        <w:t>15.2</w:t>
      </w:r>
      <w:r>
        <w:rPr>
          <w:rFonts w:eastAsia="楷体_GB2312"/>
          <w:color w:val="000000"/>
        </w:rPr>
        <w:fldChar w:fldCharType="end"/>
      </w:r>
      <w:r>
        <w:rPr>
          <w:rFonts w:eastAsia="楷体_GB2312"/>
          <w:color w:val="000000"/>
          <w:w w:val="0"/>
          <w:sz w:val="24"/>
          <w:lang w:val="en-GB"/>
        </w:rPr>
        <w:t>款被解任的，应承担因下列事项发生的全部费用和支出：(1)向继任“受托人”转让辞任或被解任“受托人”在本合同项下的全部权利、权力、职责和义务；(2)按照应适用的</w:t>
      </w:r>
      <w:r>
        <w:rPr>
          <w:rFonts w:eastAsia="楷体_GB2312"/>
          <w:bCs/>
          <w:color w:val="000000"/>
          <w:sz w:val="24"/>
        </w:rPr>
        <w:t>“</w:t>
      </w:r>
      <w:r>
        <w:rPr>
          <w:rFonts w:eastAsia="楷体_GB2312"/>
          <w:color w:val="000000"/>
          <w:w w:val="0"/>
          <w:sz w:val="24"/>
          <w:lang w:val="en-GB"/>
        </w:rPr>
        <w:t>中国”“法律”向继任“受托人”转让全部“信托财产”并对该等转让予以完善（如需）；(3)将与“信托”有关的全部记录和其他文件交付给继任“受托人”；以及(4)“中国”“法律”要求的全部相关行为。</w:t>
      </w:r>
      <w:bookmarkEnd w:id="1075"/>
      <w:bookmarkStart w:id="1085" w:name="_DV_M211"/>
      <w:bookmarkEnd w:id="1085"/>
      <w:bookmarkStart w:id="1086" w:name="_Toc148440841"/>
      <w:bookmarkEnd w:id="1086"/>
      <w:bookmarkStart w:id="1087" w:name="_Toc148440842"/>
      <w:bookmarkEnd w:id="1087"/>
      <w:bookmarkStart w:id="1088" w:name="_DV_M212"/>
      <w:bookmarkEnd w:id="1088"/>
      <w:bookmarkStart w:id="1089" w:name="_Toc112668124"/>
      <w:bookmarkEnd w:id="1089"/>
      <w:bookmarkStart w:id="1090" w:name="_Toc148384254"/>
      <w:bookmarkEnd w:id="1090"/>
      <w:bookmarkStart w:id="1091" w:name="_Toc112667951"/>
      <w:bookmarkEnd w:id="1091"/>
      <w:bookmarkStart w:id="1092" w:name="_DV_M213"/>
      <w:bookmarkEnd w:id="1092"/>
      <w:bookmarkStart w:id="1093" w:name="_Toc148384255"/>
      <w:bookmarkEnd w:id="1093"/>
    </w:p>
    <w:p w14:paraId="02044C1F">
      <w:pPr>
        <w:numPr>
          <w:ilvl w:val="0"/>
          <w:numId w:val="7"/>
        </w:numPr>
        <w:spacing w:line="360" w:lineRule="auto"/>
        <w:outlineLvl w:val="0"/>
        <w:rPr>
          <w:rFonts w:eastAsia="楷体_GB2312"/>
          <w:b/>
          <w:color w:val="000000"/>
          <w:sz w:val="24"/>
        </w:rPr>
      </w:pPr>
      <w:bookmarkStart w:id="1094" w:name="_Toc219654279"/>
      <w:bookmarkEnd w:id="1094"/>
      <w:bookmarkStart w:id="1095" w:name="_Toc219654350"/>
      <w:bookmarkEnd w:id="1095"/>
      <w:bookmarkStart w:id="1096" w:name="_Toc219710683"/>
      <w:bookmarkStart w:id="1097" w:name="_Toc225538164"/>
      <w:bookmarkStart w:id="1098" w:name="_Toc201569431"/>
      <w:bookmarkStart w:id="1099" w:name="_Toc110153448"/>
      <w:bookmarkStart w:id="1100" w:name="_Toc111281805"/>
      <w:r>
        <w:rPr>
          <w:rFonts w:eastAsia="楷体_GB2312"/>
          <w:b/>
          <w:color w:val="000000"/>
          <w:sz w:val="24"/>
        </w:rPr>
        <w:t>信托的核算</w:t>
      </w:r>
      <w:bookmarkEnd w:id="1096"/>
      <w:bookmarkEnd w:id="1097"/>
    </w:p>
    <w:p w14:paraId="79E90152">
      <w:pPr>
        <w:numPr>
          <w:ilvl w:val="1"/>
          <w:numId w:val="7"/>
        </w:numPr>
        <w:spacing w:line="360" w:lineRule="auto"/>
        <w:rPr>
          <w:rFonts w:eastAsia="楷体_GB2312"/>
          <w:color w:val="000000"/>
          <w:sz w:val="24"/>
        </w:rPr>
      </w:pPr>
      <w:r>
        <w:rPr>
          <w:rFonts w:eastAsia="楷体_GB2312"/>
          <w:color w:val="000000"/>
          <w:sz w:val="24"/>
        </w:rPr>
        <w:t>“受托人”应按照</w:t>
      </w:r>
      <w:r>
        <w:rPr>
          <w:rFonts w:eastAsia="楷体_GB2312"/>
          <w:bCs/>
          <w:color w:val="000000"/>
          <w:sz w:val="24"/>
        </w:rPr>
        <w:t>“</w:t>
      </w:r>
      <w:r>
        <w:rPr>
          <w:rFonts w:eastAsia="楷体_GB2312"/>
          <w:color w:val="000000"/>
          <w:sz w:val="24"/>
        </w:rPr>
        <w:t>中国”“法律”的要求进行“信托财产”记账和会计核算。</w:t>
      </w:r>
    </w:p>
    <w:p w14:paraId="7AE4B29B">
      <w:pPr>
        <w:numPr>
          <w:ilvl w:val="1"/>
          <w:numId w:val="7"/>
        </w:numPr>
        <w:spacing w:line="360" w:lineRule="auto"/>
        <w:rPr>
          <w:rFonts w:eastAsia="楷体_GB2312"/>
          <w:color w:val="000000"/>
          <w:sz w:val="24"/>
        </w:rPr>
      </w:pPr>
      <w:r>
        <w:rPr>
          <w:rFonts w:eastAsia="楷体_GB2312"/>
          <w:color w:val="000000"/>
          <w:sz w:val="24"/>
        </w:rPr>
        <w:t>“受托人”开立“信托账户”专门用于“信托”项下的资金结算，进行核算管理，确保“信托”项下的“信托财产”与“受托人”的固有财产和其他信托项下的财产分开管理、分账核算。</w:t>
      </w:r>
    </w:p>
    <w:p w14:paraId="32A4D2FB">
      <w:pPr>
        <w:numPr>
          <w:ilvl w:val="1"/>
          <w:numId w:val="7"/>
        </w:numPr>
        <w:spacing w:line="360" w:lineRule="auto"/>
        <w:rPr>
          <w:rFonts w:eastAsia="楷体_GB2312"/>
          <w:color w:val="000000"/>
        </w:rPr>
      </w:pPr>
      <w:r>
        <w:rPr>
          <w:rFonts w:eastAsia="楷体_GB2312"/>
          <w:color w:val="000000"/>
          <w:sz w:val="24"/>
        </w:rPr>
        <w:t>“受托人”为“信托”建立单独的会计记录和财务报表，确保“信托财产”的独立性。</w:t>
      </w:r>
    </w:p>
    <w:p w14:paraId="783EA599">
      <w:pPr>
        <w:numPr>
          <w:ilvl w:val="1"/>
          <w:numId w:val="7"/>
        </w:numPr>
        <w:spacing w:line="360" w:lineRule="auto"/>
        <w:rPr>
          <w:rFonts w:eastAsia="楷体_GB2312"/>
          <w:color w:val="000000"/>
          <w:sz w:val="24"/>
        </w:rPr>
      </w:pPr>
      <w:r>
        <w:rPr>
          <w:rFonts w:eastAsia="楷体_GB2312"/>
          <w:color w:val="000000"/>
          <w:sz w:val="24"/>
        </w:rPr>
        <w:t>“信托”将作为独立的会计核算主体，以持续经营为前提，单独记账、单独核算、单独编制财务会计报告，独立核算“信托财产”的管理、运用和处分情况。“受托人”、“贷款服务机构”和“资金保管机构”分工完成整个信托过程的会计处理；“受托人”依照“贷款服务机构”和“资金保管机构”分别提供的“贷款服务机构报告”、“贷款服务机构”会计信息、“资金保管报告”等信息进行会计核算，编制“信托”的会计报表。“信托”会计处理的具体原则和方式参见本合同</w:t>
      </w:r>
      <w:r>
        <w:rPr>
          <w:rFonts w:eastAsia="楷体_GB2312"/>
          <w:b/>
          <w:i/>
          <w:iCs/>
          <w:color w:val="000000"/>
          <w:sz w:val="24"/>
        </w:rPr>
        <w:t>附件九</w:t>
      </w:r>
      <w:r>
        <w:rPr>
          <w:rFonts w:eastAsia="楷体_GB2312"/>
          <w:color w:val="000000"/>
          <w:sz w:val="24"/>
        </w:rPr>
        <w:t>。</w:t>
      </w:r>
      <w:bookmarkEnd w:id="1098"/>
      <w:bookmarkEnd w:id="1099"/>
      <w:bookmarkEnd w:id="1100"/>
    </w:p>
    <w:p w14:paraId="1663C430">
      <w:pPr>
        <w:numPr>
          <w:ilvl w:val="0"/>
          <w:numId w:val="7"/>
        </w:numPr>
        <w:spacing w:line="360" w:lineRule="auto"/>
        <w:outlineLvl w:val="0"/>
        <w:rPr>
          <w:rFonts w:eastAsia="楷体_GB2312"/>
        </w:rPr>
      </w:pPr>
      <w:bookmarkStart w:id="1101" w:name="_Toc219654352"/>
      <w:bookmarkEnd w:id="1101"/>
      <w:bookmarkStart w:id="1102" w:name="_Toc219654281"/>
      <w:bookmarkEnd w:id="1102"/>
      <w:bookmarkStart w:id="1103" w:name="_Toc219710684"/>
      <w:bookmarkStart w:id="1104" w:name="_Toc225538165"/>
      <w:bookmarkStart w:id="1105" w:name="_Toc92612937"/>
      <w:r>
        <w:rPr>
          <w:rFonts w:eastAsia="楷体_GB2312"/>
          <w:b/>
          <w:color w:val="000000"/>
          <w:sz w:val="24"/>
        </w:rPr>
        <w:t>费用和报酬</w:t>
      </w:r>
      <w:bookmarkEnd w:id="1103"/>
      <w:bookmarkEnd w:id="1104"/>
    </w:p>
    <w:bookmarkEnd w:id="1105"/>
    <w:p w14:paraId="0C6A249B">
      <w:pPr>
        <w:numPr>
          <w:ilvl w:val="1"/>
          <w:numId w:val="7"/>
        </w:numPr>
        <w:spacing w:line="360" w:lineRule="auto"/>
        <w:rPr>
          <w:rFonts w:eastAsia="楷体_GB2312"/>
          <w:b/>
          <w:color w:val="000000"/>
          <w:sz w:val="24"/>
        </w:rPr>
      </w:pPr>
      <w:r>
        <w:rPr>
          <w:rFonts w:eastAsia="楷体_GB2312"/>
          <w:b/>
          <w:color w:val="000000"/>
          <w:sz w:val="24"/>
        </w:rPr>
        <w:t>委托人承担的费用</w:t>
      </w:r>
    </w:p>
    <w:p w14:paraId="5F0B0681">
      <w:pPr>
        <w:tabs>
          <w:tab w:val="left" w:pos="6240"/>
        </w:tabs>
        <w:spacing w:line="360" w:lineRule="auto"/>
        <w:ind w:left="992"/>
        <w:rPr>
          <w:rFonts w:eastAsia="楷体_GB2312"/>
          <w:color w:val="000000"/>
          <w:sz w:val="24"/>
        </w:rPr>
      </w:pPr>
      <w:r>
        <w:rPr>
          <w:rFonts w:eastAsia="楷体_GB2312"/>
          <w:color w:val="000000"/>
          <w:sz w:val="24"/>
        </w:rPr>
        <w:t>以下费用由“委托人”承担：</w:t>
      </w:r>
    </w:p>
    <w:p w14:paraId="4505658B">
      <w:pPr>
        <w:numPr>
          <w:ilvl w:val="0"/>
          <w:numId w:val="33"/>
        </w:numPr>
        <w:tabs>
          <w:tab w:val="left" w:pos="941"/>
        </w:tabs>
        <w:spacing w:line="360" w:lineRule="auto"/>
        <w:ind w:left="989" w:leftChars="471"/>
        <w:rPr>
          <w:rFonts w:eastAsia="楷体_GB2312"/>
          <w:b/>
          <w:color w:val="000000"/>
          <w:sz w:val="24"/>
        </w:rPr>
      </w:pPr>
      <w:r>
        <w:rPr>
          <w:rFonts w:eastAsia="楷体_GB2312"/>
          <w:color w:val="000000"/>
          <w:sz w:val="24"/>
        </w:rPr>
        <w:t>因进行“不合格资产”“赎回”所发生的费用（如有）；</w:t>
      </w:r>
    </w:p>
    <w:p w14:paraId="7B1567CC">
      <w:pPr>
        <w:numPr>
          <w:ilvl w:val="0"/>
          <w:numId w:val="33"/>
        </w:numPr>
        <w:tabs>
          <w:tab w:val="left" w:pos="941"/>
        </w:tabs>
        <w:spacing w:line="360" w:lineRule="auto"/>
        <w:ind w:left="989" w:leftChars="471"/>
        <w:rPr>
          <w:rFonts w:eastAsia="楷体_GB2312"/>
          <w:b/>
          <w:color w:val="000000"/>
          <w:sz w:val="24"/>
        </w:rPr>
      </w:pPr>
      <w:r>
        <w:rPr>
          <w:rFonts w:eastAsia="楷体_GB2312"/>
          <w:color w:val="000000"/>
          <w:sz w:val="24"/>
        </w:rPr>
        <w:t>发生“清仓回购”的，“受托人”配合“委托人”办理必要的转移/变更登记和通知手续（如有）所发生的费用；</w:t>
      </w:r>
    </w:p>
    <w:p w14:paraId="7F3C094C">
      <w:pPr>
        <w:numPr>
          <w:ilvl w:val="0"/>
          <w:numId w:val="33"/>
        </w:numPr>
        <w:tabs>
          <w:tab w:val="left" w:pos="941"/>
        </w:tabs>
        <w:spacing w:line="360" w:lineRule="auto"/>
        <w:ind w:left="989" w:leftChars="471"/>
        <w:rPr>
          <w:rFonts w:eastAsia="楷体_GB2312"/>
          <w:color w:val="FF0000"/>
          <w:sz w:val="24"/>
        </w:rPr>
      </w:pPr>
      <w:r>
        <w:rPr>
          <w:rFonts w:eastAsia="楷体_GB2312"/>
          <w:color w:val="000000"/>
          <w:sz w:val="24"/>
        </w:rPr>
        <w:t>应由“委托人”承担的“发行费用”；</w:t>
      </w:r>
      <w:r>
        <w:rPr>
          <w:rFonts w:eastAsia="楷体_GB2312"/>
          <w:b/>
          <w:bCs/>
          <w:i/>
          <w:iCs/>
          <w:color w:val="FF0000"/>
          <w:sz w:val="24"/>
        </w:rPr>
        <w:t>【注：如有，需列明范围】</w:t>
      </w:r>
    </w:p>
    <w:p w14:paraId="3D3DA31E">
      <w:pPr>
        <w:numPr>
          <w:ilvl w:val="0"/>
          <w:numId w:val="33"/>
        </w:numPr>
        <w:tabs>
          <w:tab w:val="left" w:pos="941"/>
        </w:tabs>
        <w:spacing w:line="360" w:lineRule="auto"/>
        <w:ind w:left="989" w:leftChars="471"/>
        <w:rPr>
          <w:rFonts w:eastAsia="楷体_GB2312"/>
          <w:color w:val="000000"/>
          <w:sz w:val="24"/>
        </w:rPr>
      </w:pPr>
      <w:r>
        <w:rPr>
          <w:rFonts w:eastAsia="楷体_GB2312"/>
          <w:color w:val="000000"/>
          <w:sz w:val="24"/>
        </w:rPr>
        <w:t>发送“权利完善通知”的费用（如有）；</w:t>
      </w:r>
    </w:p>
    <w:p w14:paraId="00A78F24">
      <w:pPr>
        <w:numPr>
          <w:ilvl w:val="0"/>
          <w:numId w:val="33"/>
        </w:numPr>
        <w:tabs>
          <w:tab w:val="left" w:pos="941"/>
        </w:tabs>
        <w:spacing w:line="360" w:lineRule="auto"/>
        <w:ind w:left="989" w:leftChars="471"/>
        <w:rPr>
          <w:rFonts w:eastAsia="楷体_GB2312"/>
          <w:i/>
          <w:iCs/>
          <w:color w:val="000000"/>
          <w:sz w:val="24"/>
        </w:rPr>
      </w:pPr>
      <w:r>
        <w:rPr>
          <w:rFonts w:eastAsia="楷体_GB2312"/>
          <w:b/>
          <w:bCs/>
          <w:i/>
          <w:iCs/>
          <w:color w:val="FF0000"/>
          <w:sz w:val="24"/>
        </w:rPr>
        <w:t>【适用于基础资产涉及担保的情形】</w:t>
      </w:r>
      <w:r>
        <w:rPr>
          <w:rFonts w:eastAsia="楷体_GB2312"/>
          <w:color w:val="000000"/>
          <w:sz w:val="24"/>
        </w:rPr>
        <w:t>办理“抵押权”、“抵押预告登记权益”或“质权”转移</w:t>
      </w:r>
      <w:r>
        <w:rPr>
          <w:rFonts w:eastAsia="楷体_GB2312"/>
          <w:snapToGrid w:val="0"/>
          <w:color w:val="000000"/>
          <w:kern w:val="28"/>
          <w:sz w:val="24"/>
          <w:szCs w:val="20"/>
        </w:rPr>
        <w:t>/变更</w:t>
      </w:r>
      <w:r>
        <w:rPr>
          <w:rFonts w:eastAsia="楷体_GB2312"/>
          <w:color w:val="000000"/>
          <w:sz w:val="24"/>
        </w:rPr>
        <w:t>登记以及“质物”或相关权利凭证转移所发生的相关费用；</w:t>
      </w:r>
    </w:p>
    <w:p w14:paraId="372B185E">
      <w:pPr>
        <w:numPr>
          <w:ilvl w:val="0"/>
          <w:numId w:val="33"/>
        </w:numPr>
        <w:spacing w:line="380" w:lineRule="exact"/>
        <w:ind w:left="1418" w:hanging="425"/>
        <w:rPr>
          <w:rFonts w:eastAsia="楷体_GB2312"/>
          <w:color w:val="000000"/>
          <w:sz w:val="24"/>
        </w:rPr>
      </w:pPr>
      <w:r>
        <w:rPr>
          <w:rFonts w:eastAsia="楷体_GB2312"/>
          <w:b/>
          <w:bCs/>
          <w:i/>
          <w:iCs/>
          <w:color w:val="FF0000"/>
          <w:sz w:val="24"/>
        </w:rPr>
        <w:t>【仅适用于过渡期处置费用由委托人承担的情形】</w:t>
      </w:r>
      <w:r>
        <w:rPr>
          <w:rFonts w:eastAsia="楷体_GB2312"/>
          <w:color w:val="000000"/>
          <w:sz w:val="24"/>
        </w:rPr>
        <w:t>在“过渡期”内</w:t>
      </w:r>
      <w:r>
        <w:rPr>
          <w:rFonts w:eastAsia="楷体_GB2312"/>
          <w:snapToGrid w:val="0"/>
          <w:color w:val="000000"/>
          <w:kern w:val="28"/>
          <w:sz w:val="24"/>
          <w:szCs w:val="20"/>
        </w:rPr>
        <w:t>“委托人”</w:t>
      </w:r>
      <w:r>
        <w:rPr>
          <w:rFonts w:eastAsia="楷体_GB2312"/>
          <w:sz w:val="24"/>
        </w:rPr>
        <w:t>收到的“处置收入”对应的“处置费用”</w:t>
      </w:r>
      <w:r>
        <w:rPr>
          <w:rFonts w:eastAsia="楷体_GB2312"/>
          <w:snapToGrid w:val="0"/>
          <w:color w:val="000000"/>
          <w:kern w:val="28"/>
          <w:sz w:val="24"/>
          <w:szCs w:val="20"/>
        </w:rPr>
        <w:t>；</w:t>
      </w:r>
    </w:p>
    <w:p w14:paraId="0B52A226">
      <w:pPr>
        <w:numPr>
          <w:ilvl w:val="0"/>
          <w:numId w:val="33"/>
        </w:numPr>
        <w:tabs>
          <w:tab w:val="left" w:pos="941"/>
        </w:tabs>
        <w:spacing w:line="360" w:lineRule="auto"/>
        <w:ind w:left="989" w:leftChars="471"/>
        <w:rPr>
          <w:rFonts w:eastAsia="楷体_GB2312"/>
          <w:color w:val="000000"/>
          <w:sz w:val="24"/>
        </w:rPr>
      </w:pPr>
      <w:r>
        <w:rPr>
          <w:rFonts w:eastAsia="楷体_GB2312"/>
          <w:color w:val="000000"/>
          <w:sz w:val="24"/>
        </w:rPr>
        <w:t>“交易文件”约定的应由“委托人”承担的其他费用。</w:t>
      </w:r>
    </w:p>
    <w:p w14:paraId="7C233C21">
      <w:pPr>
        <w:tabs>
          <w:tab w:val="left" w:pos="941"/>
        </w:tabs>
        <w:spacing w:line="360" w:lineRule="auto"/>
        <w:ind w:left="420" w:leftChars="200" w:firstLine="964" w:firstLineChars="400"/>
        <w:rPr>
          <w:rFonts w:eastAsia="楷体_GB2312"/>
          <w:color w:val="000000"/>
          <w:sz w:val="24"/>
        </w:rPr>
      </w:pPr>
      <w:r>
        <w:rPr>
          <w:rFonts w:eastAsia="楷体_GB2312"/>
          <w:b/>
          <w:bCs/>
          <w:i/>
          <w:iCs/>
          <w:color w:val="FF0000"/>
          <w:sz w:val="24"/>
        </w:rPr>
        <w:t>【注：委托人承担费用的范围根据具体项目的需要进行调整。】</w:t>
      </w:r>
    </w:p>
    <w:p w14:paraId="6EC6C442">
      <w:pPr>
        <w:numPr>
          <w:ilvl w:val="1"/>
          <w:numId w:val="7"/>
        </w:numPr>
        <w:spacing w:line="360" w:lineRule="auto"/>
        <w:rPr>
          <w:rFonts w:eastAsia="楷体_GB2312"/>
          <w:b/>
          <w:color w:val="000000"/>
          <w:sz w:val="24"/>
        </w:rPr>
      </w:pPr>
      <w:bookmarkStart w:id="1106" w:name="_Ref185867168"/>
      <w:r>
        <w:rPr>
          <w:rFonts w:eastAsia="楷体_GB2312"/>
          <w:b/>
          <w:color w:val="000000"/>
          <w:sz w:val="24"/>
        </w:rPr>
        <w:t>信托财产承担的费用</w:t>
      </w:r>
      <w:bookmarkEnd w:id="1106"/>
    </w:p>
    <w:p w14:paraId="5A6404FF">
      <w:pPr>
        <w:spacing w:line="360" w:lineRule="auto"/>
        <w:ind w:left="992"/>
        <w:rPr>
          <w:rFonts w:eastAsia="楷体_GB2312"/>
          <w:color w:val="000000"/>
          <w:sz w:val="24"/>
        </w:rPr>
      </w:pPr>
      <w:r>
        <w:rPr>
          <w:rFonts w:eastAsia="楷体_GB2312"/>
          <w:color w:val="000000"/>
          <w:sz w:val="24"/>
        </w:rPr>
        <w:t>下列费用应由“信托财产”承担，并应按照本合同第</w:t>
      </w:r>
      <w:r>
        <w:rPr>
          <w:rFonts w:eastAsia="楷体_GB2312"/>
          <w:color w:val="000000"/>
          <w:sz w:val="24"/>
        </w:rPr>
        <w:fldChar w:fldCharType="begin"/>
      </w:r>
      <w:r>
        <w:rPr>
          <w:rFonts w:eastAsia="楷体_GB2312"/>
          <w:color w:val="000000"/>
          <w:sz w:val="24"/>
        </w:rPr>
        <w:instrText xml:space="preserve"> REF _Ref201563930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条约定的支付顺序予以支付：</w:t>
      </w:r>
    </w:p>
    <w:p w14:paraId="4A208F91">
      <w:pPr>
        <w:numPr>
          <w:ilvl w:val="0"/>
          <w:numId w:val="34"/>
        </w:numPr>
        <w:tabs>
          <w:tab w:val="left" w:pos="1571"/>
        </w:tabs>
        <w:spacing w:line="360" w:lineRule="auto"/>
        <w:rPr>
          <w:rFonts w:eastAsia="楷体_GB2312"/>
          <w:color w:val="000000"/>
          <w:sz w:val="24"/>
        </w:rPr>
      </w:pPr>
      <w:r>
        <w:rPr>
          <w:rFonts w:eastAsia="楷体_GB2312"/>
          <w:bCs/>
          <w:color w:val="000000"/>
          <w:sz w:val="24"/>
        </w:rPr>
        <w:t>按照</w:t>
      </w:r>
      <w:r>
        <w:rPr>
          <w:rFonts w:eastAsia="楷体_GB2312"/>
          <w:color w:val="000000"/>
          <w:sz w:val="24"/>
        </w:rPr>
        <w:t>相关</w:t>
      </w:r>
      <w:r>
        <w:rPr>
          <w:rFonts w:eastAsia="楷体_GB2312"/>
          <w:bCs/>
          <w:color w:val="000000"/>
          <w:sz w:val="24"/>
        </w:rPr>
        <w:t>“</w:t>
      </w:r>
      <w:r>
        <w:rPr>
          <w:rFonts w:eastAsia="楷体_GB2312"/>
          <w:color w:val="000000"/>
          <w:sz w:val="24"/>
        </w:rPr>
        <w:t>中国”“法律”规定和本合同约定应由“信托财产”承担的“税费”；</w:t>
      </w:r>
    </w:p>
    <w:p w14:paraId="5E307ADA">
      <w:pPr>
        <w:numPr>
          <w:ilvl w:val="0"/>
          <w:numId w:val="34"/>
        </w:numPr>
        <w:tabs>
          <w:tab w:val="left" w:pos="1571"/>
        </w:tabs>
        <w:spacing w:line="360" w:lineRule="auto"/>
        <w:rPr>
          <w:rFonts w:eastAsia="楷体_GB2312"/>
          <w:color w:val="000000"/>
          <w:sz w:val="24"/>
        </w:rPr>
      </w:pPr>
      <w:r>
        <w:rPr>
          <w:rFonts w:eastAsia="楷体_GB2312"/>
          <w:color w:val="000000"/>
          <w:sz w:val="24"/>
        </w:rPr>
        <w:t>“发行费用”；</w:t>
      </w:r>
      <w:r>
        <w:rPr>
          <w:rFonts w:eastAsia="楷体_GB2312"/>
          <w:b/>
          <w:bCs/>
          <w:i/>
          <w:iCs/>
          <w:color w:val="FF0000"/>
          <w:sz w:val="24"/>
        </w:rPr>
        <w:t>【注：如有，需列明范围】</w:t>
      </w:r>
    </w:p>
    <w:p w14:paraId="04E5DA7C">
      <w:pPr>
        <w:numPr>
          <w:ilvl w:val="0"/>
          <w:numId w:val="34"/>
        </w:numPr>
        <w:spacing w:line="360" w:lineRule="auto"/>
        <w:rPr>
          <w:rFonts w:eastAsia="楷体_GB2312"/>
          <w:color w:val="000000"/>
        </w:rPr>
      </w:pPr>
      <w:r>
        <w:rPr>
          <w:rFonts w:eastAsia="楷体_GB2312"/>
          <w:color w:val="000000"/>
          <w:sz w:val="24"/>
        </w:rPr>
        <w:t>“信托生效日”后，“受托人”、“贷款服务机构”、“后备贷款服务机构”（如有）、“资金保管机构”、“支付代理机构”、“评级机构”（提供跟踪评级服务）、“审计师”的报酬、“受托人”于“信托”设立后聘请的评估公司（如有）、律师事务所（如有）、会计师事务所（如有）等服务机构的报酬；</w:t>
      </w:r>
    </w:p>
    <w:p w14:paraId="00FB7FFF">
      <w:pPr>
        <w:numPr>
          <w:ilvl w:val="0"/>
          <w:numId w:val="34"/>
        </w:numPr>
        <w:spacing w:line="360" w:lineRule="auto"/>
        <w:rPr>
          <w:rFonts w:eastAsia="楷体_GB2312"/>
          <w:color w:val="000000"/>
          <w:sz w:val="24"/>
        </w:rPr>
      </w:pPr>
      <w:r>
        <w:rPr>
          <w:rFonts w:eastAsia="楷体_GB2312"/>
          <w:sz w:val="24"/>
        </w:rPr>
        <w:t>“信托”存续期间的</w:t>
      </w:r>
      <w:r>
        <w:rPr>
          <w:rFonts w:eastAsia="楷体_GB2312"/>
          <w:color w:val="000000"/>
          <w:sz w:val="24"/>
        </w:rPr>
        <w:t>“处置费用”；</w:t>
      </w:r>
    </w:p>
    <w:p w14:paraId="4B6A0EE9">
      <w:pPr>
        <w:numPr>
          <w:ilvl w:val="0"/>
          <w:numId w:val="34"/>
        </w:numPr>
        <w:spacing w:line="360" w:lineRule="auto"/>
        <w:rPr>
          <w:rFonts w:eastAsia="楷体_GB2312"/>
          <w:color w:val="000000"/>
        </w:rPr>
      </w:pPr>
      <w:r>
        <w:rPr>
          <w:rFonts w:eastAsia="楷体_GB2312"/>
          <w:color w:val="000000"/>
          <w:sz w:val="24"/>
        </w:rPr>
        <w:t>“费用支出”；</w:t>
      </w:r>
    </w:p>
    <w:p w14:paraId="3ECAE01B">
      <w:pPr>
        <w:numPr>
          <w:ilvl w:val="0"/>
          <w:numId w:val="34"/>
        </w:numPr>
        <w:spacing w:line="360" w:lineRule="auto"/>
        <w:rPr>
          <w:rFonts w:eastAsia="楷体_GB2312"/>
          <w:color w:val="000000"/>
          <w:sz w:val="24"/>
        </w:rPr>
      </w:pPr>
      <w:r>
        <w:rPr>
          <w:rFonts w:eastAsia="楷体_GB2312"/>
          <w:color w:val="000000"/>
          <w:sz w:val="24"/>
        </w:rPr>
        <w:t>因清算“信托财产”所发生的费用；</w:t>
      </w:r>
    </w:p>
    <w:p w14:paraId="08043A7D">
      <w:pPr>
        <w:numPr>
          <w:ilvl w:val="0"/>
          <w:numId w:val="34"/>
        </w:numPr>
        <w:spacing w:line="360" w:lineRule="auto"/>
        <w:rPr>
          <w:rFonts w:eastAsia="楷体_GB2312"/>
          <w:color w:val="000000"/>
          <w:sz w:val="24"/>
        </w:rPr>
      </w:pPr>
      <w:r>
        <w:rPr>
          <w:rFonts w:eastAsia="楷体_GB2312"/>
          <w:color w:val="000000"/>
          <w:sz w:val="24"/>
        </w:rPr>
        <w:t>“中国”“法律”规定或“交易文件”约定的应由“信托财产”承担的其他费用和支出。</w:t>
      </w:r>
    </w:p>
    <w:p w14:paraId="2544763F">
      <w:pPr>
        <w:tabs>
          <w:tab w:val="left" w:pos="941"/>
        </w:tabs>
        <w:spacing w:line="360" w:lineRule="auto"/>
        <w:ind w:firstLine="1417" w:firstLineChars="588"/>
        <w:rPr>
          <w:rFonts w:eastAsia="楷体_GB2312"/>
          <w:b/>
          <w:bCs/>
          <w:i/>
          <w:iCs/>
          <w:color w:val="FF0000"/>
          <w:sz w:val="24"/>
        </w:rPr>
      </w:pPr>
      <w:r>
        <w:rPr>
          <w:rFonts w:eastAsia="楷体_GB2312"/>
          <w:b/>
          <w:bCs/>
          <w:i/>
          <w:iCs/>
          <w:color w:val="FF0000"/>
          <w:sz w:val="24"/>
        </w:rPr>
        <w:t>【注：信托财产承担费用的范围根据具体项目的需要进行调整。】</w:t>
      </w:r>
    </w:p>
    <w:p w14:paraId="4E792880">
      <w:pPr>
        <w:numPr>
          <w:ilvl w:val="1"/>
          <w:numId w:val="7"/>
        </w:numPr>
        <w:spacing w:line="360" w:lineRule="auto"/>
        <w:rPr>
          <w:rFonts w:eastAsia="楷体_GB2312"/>
          <w:color w:val="000000"/>
          <w:sz w:val="24"/>
        </w:rPr>
      </w:pPr>
      <w:bookmarkStart w:id="1107" w:name="_Ref520391270"/>
      <w:bookmarkStart w:id="1108" w:name="_Ref204504967"/>
      <w:r>
        <w:rPr>
          <w:rFonts w:eastAsia="楷体_GB2312"/>
          <w:b/>
          <w:color w:val="000000"/>
          <w:sz w:val="24"/>
        </w:rPr>
        <w:t>受托</w:t>
      </w:r>
      <w:bookmarkStart w:id="1109" w:name="_Toc92612939"/>
      <w:r>
        <w:rPr>
          <w:rFonts w:eastAsia="楷体_GB2312"/>
          <w:b/>
          <w:color w:val="000000"/>
          <w:sz w:val="24"/>
        </w:rPr>
        <w:t>人的报酬</w:t>
      </w:r>
      <w:bookmarkEnd w:id="1107"/>
      <w:bookmarkEnd w:id="1108"/>
      <w:bookmarkEnd w:id="1109"/>
    </w:p>
    <w:p w14:paraId="191399A2">
      <w:pPr>
        <w:spacing w:line="360" w:lineRule="auto"/>
        <w:ind w:left="992"/>
        <w:rPr>
          <w:rFonts w:eastAsia="楷体_GB2312"/>
          <w:color w:val="000000"/>
          <w:sz w:val="24"/>
        </w:rPr>
      </w:pPr>
      <w:r>
        <w:rPr>
          <w:rFonts w:eastAsia="楷体_GB2312"/>
          <w:color w:val="000000"/>
          <w:sz w:val="24"/>
        </w:rPr>
        <w:t>“受托人”根据本合同履行“受托人”职责的报酬应为“委托人”与“受托人”签署的“收费文件”中列示的金额，并按照本合同第</w:t>
      </w:r>
      <w:r>
        <w:rPr>
          <w:rFonts w:eastAsia="楷体_GB2312"/>
          <w:color w:val="000000"/>
          <w:sz w:val="24"/>
        </w:rPr>
        <w:fldChar w:fldCharType="begin"/>
      </w:r>
      <w:r>
        <w:rPr>
          <w:rFonts w:eastAsia="楷体_GB2312"/>
          <w:color w:val="000000"/>
          <w:sz w:val="24"/>
        </w:rPr>
        <w:instrText xml:space="preserve"> REF _Ref449359897 \r \h  \* MERGEFORMAT </w:instrText>
      </w:r>
      <w:r>
        <w:rPr>
          <w:rFonts w:eastAsia="楷体_GB2312"/>
          <w:color w:val="000000"/>
          <w:sz w:val="24"/>
        </w:rPr>
        <w:fldChar w:fldCharType="separate"/>
      </w:r>
      <w:r>
        <w:rPr>
          <w:rFonts w:eastAsia="楷体_GB2312"/>
          <w:color w:val="000000"/>
          <w:sz w:val="24"/>
        </w:rPr>
        <w:t>11</w:t>
      </w:r>
      <w:r>
        <w:rPr>
          <w:rFonts w:eastAsia="楷体_GB2312"/>
          <w:color w:val="000000"/>
          <w:sz w:val="24"/>
        </w:rPr>
        <w:fldChar w:fldCharType="end"/>
      </w:r>
      <w:r>
        <w:rPr>
          <w:rFonts w:eastAsia="楷体_GB2312"/>
          <w:color w:val="000000"/>
          <w:sz w:val="24"/>
        </w:rPr>
        <w:t>条约定的支付顺序予以支付。</w:t>
      </w:r>
    </w:p>
    <w:p w14:paraId="1FF99B3E">
      <w:pPr>
        <w:numPr>
          <w:ilvl w:val="1"/>
          <w:numId w:val="7"/>
        </w:numPr>
        <w:spacing w:line="360" w:lineRule="auto"/>
        <w:rPr>
          <w:rFonts w:eastAsia="楷体_GB2312"/>
          <w:b/>
          <w:color w:val="000000"/>
          <w:sz w:val="24"/>
        </w:rPr>
      </w:pPr>
      <w:r>
        <w:rPr>
          <w:rFonts w:eastAsia="楷体_GB2312"/>
          <w:b/>
          <w:color w:val="000000"/>
          <w:sz w:val="24"/>
        </w:rPr>
        <w:t>其他机构的报酬</w:t>
      </w:r>
    </w:p>
    <w:p w14:paraId="45C566A0">
      <w:pPr>
        <w:spacing w:line="360" w:lineRule="auto"/>
        <w:ind w:left="992"/>
        <w:rPr>
          <w:rFonts w:eastAsia="楷体_GB2312"/>
          <w:color w:val="000000"/>
          <w:sz w:val="24"/>
        </w:rPr>
      </w:pPr>
      <w:r>
        <w:rPr>
          <w:rFonts w:eastAsia="楷体_GB2312"/>
          <w:color w:val="000000"/>
          <w:sz w:val="24"/>
        </w:rPr>
        <w:t>除“受托人”以外的其他机构的服务报酬应为相关“收费文件”中列示的金额，并按照本合同第</w:t>
      </w:r>
      <w:r>
        <w:rPr>
          <w:rFonts w:eastAsia="楷体_GB2312"/>
          <w:color w:val="000000"/>
        </w:rPr>
        <w:fldChar w:fldCharType="begin"/>
      </w:r>
      <w:r>
        <w:rPr>
          <w:rFonts w:eastAsia="楷体_GB2312"/>
          <w:color w:val="000000"/>
          <w:sz w:val="24"/>
        </w:rPr>
        <w:instrText xml:space="preserve"> REF _Ref201563930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条约定的支付顺序予以支付。</w:t>
      </w:r>
    </w:p>
    <w:p w14:paraId="40FEDE71">
      <w:pPr>
        <w:numPr>
          <w:ilvl w:val="0"/>
          <w:numId w:val="7"/>
        </w:numPr>
        <w:spacing w:line="360" w:lineRule="auto"/>
        <w:outlineLvl w:val="0"/>
        <w:rPr>
          <w:rFonts w:eastAsia="楷体_GB2312"/>
          <w:bCs/>
          <w:color w:val="000000"/>
          <w:sz w:val="24"/>
        </w:rPr>
      </w:pPr>
      <w:bookmarkStart w:id="1110" w:name="_Toc107916033"/>
      <w:bookmarkEnd w:id="1110"/>
      <w:bookmarkStart w:id="1111" w:name="_Toc146349292"/>
      <w:bookmarkEnd w:id="1111"/>
      <w:bookmarkStart w:id="1112" w:name="_Toc219654283"/>
      <w:bookmarkEnd w:id="1112"/>
      <w:bookmarkStart w:id="1113" w:name="_Toc107916196"/>
      <w:bookmarkEnd w:id="1113"/>
      <w:bookmarkStart w:id="1114" w:name="_Toc107916032"/>
      <w:bookmarkEnd w:id="1114"/>
      <w:bookmarkStart w:id="1115" w:name="_Toc146349293"/>
      <w:bookmarkEnd w:id="1115"/>
      <w:bookmarkStart w:id="1116" w:name="_Toc107916195"/>
      <w:bookmarkEnd w:id="1116"/>
      <w:bookmarkStart w:id="1117" w:name="_Toc219654354"/>
      <w:bookmarkEnd w:id="1117"/>
      <w:bookmarkStart w:id="1118" w:name="_Toc219710685"/>
      <w:bookmarkStart w:id="1119" w:name="_Toc225538166"/>
      <w:r>
        <w:rPr>
          <w:rFonts w:eastAsia="楷体_GB2312"/>
          <w:b/>
          <w:color w:val="000000"/>
          <w:sz w:val="24"/>
        </w:rPr>
        <w:t>税负承担</w:t>
      </w:r>
      <w:bookmarkEnd w:id="1118"/>
      <w:bookmarkEnd w:id="1119"/>
    </w:p>
    <w:p w14:paraId="0CA8787C">
      <w:pPr>
        <w:spacing w:line="360" w:lineRule="auto"/>
        <w:ind w:left="420"/>
        <w:rPr>
          <w:rFonts w:eastAsia="楷体_GB2312"/>
          <w:bCs/>
          <w:color w:val="000000"/>
          <w:sz w:val="24"/>
        </w:rPr>
      </w:pPr>
      <w:r>
        <w:rPr>
          <w:rFonts w:eastAsia="楷体_GB2312"/>
          <w:bCs/>
          <w:color w:val="000000"/>
          <w:sz w:val="24"/>
        </w:rPr>
        <w:t>双方同意在</w:t>
      </w: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设立、</w:t>
      </w:r>
      <w:r>
        <w:rPr>
          <w:rFonts w:eastAsia="楷体_GB2312"/>
          <w:color w:val="000000"/>
          <w:sz w:val="24"/>
        </w:rPr>
        <w:t>“</w:t>
      </w:r>
      <w:r>
        <w:rPr>
          <w:rFonts w:eastAsia="楷体_GB2312"/>
          <w:bCs/>
          <w:color w:val="000000"/>
          <w:sz w:val="24"/>
        </w:rPr>
        <w:t>信托财产</w:t>
      </w:r>
      <w:r>
        <w:rPr>
          <w:rFonts w:eastAsia="楷体_GB2312"/>
          <w:color w:val="000000"/>
          <w:sz w:val="24"/>
        </w:rPr>
        <w:t>”</w:t>
      </w:r>
      <w:r>
        <w:rPr>
          <w:rFonts w:eastAsia="楷体_GB2312"/>
          <w:bCs/>
          <w:color w:val="000000"/>
          <w:sz w:val="24"/>
        </w:rPr>
        <w:t>的管理和运用、处分、</w:t>
      </w:r>
      <w:r>
        <w:rPr>
          <w:rFonts w:eastAsia="楷体_GB2312"/>
          <w:color w:val="000000"/>
          <w:sz w:val="24"/>
        </w:rPr>
        <w:t>“</w:t>
      </w:r>
      <w:r>
        <w:rPr>
          <w:rFonts w:eastAsia="楷体_GB2312"/>
          <w:bCs/>
          <w:color w:val="000000"/>
          <w:sz w:val="24"/>
        </w:rPr>
        <w:t>处置收入</w:t>
      </w:r>
      <w:r>
        <w:rPr>
          <w:rFonts w:eastAsia="楷体_GB2312"/>
          <w:color w:val="000000"/>
          <w:sz w:val="24"/>
        </w:rPr>
        <w:t>”</w:t>
      </w:r>
      <w:r>
        <w:rPr>
          <w:rFonts w:eastAsia="楷体_GB2312"/>
          <w:bCs/>
          <w:color w:val="000000"/>
          <w:sz w:val="24"/>
        </w:rPr>
        <w:t>的分配、</w:t>
      </w:r>
      <w:r>
        <w:rPr>
          <w:rFonts w:eastAsia="楷体_GB2312"/>
          <w:color w:val="000000"/>
          <w:sz w:val="24"/>
        </w:rPr>
        <w:t>“</w:t>
      </w:r>
      <w:r>
        <w:rPr>
          <w:rFonts w:eastAsia="楷体_GB2312"/>
          <w:bCs/>
          <w:color w:val="000000"/>
          <w:sz w:val="24"/>
        </w:rPr>
        <w:t>信托</w:t>
      </w:r>
      <w:r>
        <w:rPr>
          <w:rFonts w:eastAsia="楷体_GB2312"/>
          <w:color w:val="000000"/>
          <w:sz w:val="24"/>
        </w:rPr>
        <w:t>”</w:t>
      </w:r>
      <w:r>
        <w:rPr>
          <w:rFonts w:eastAsia="楷体_GB2312"/>
          <w:bCs/>
          <w:color w:val="000000"/>
          <w:sz w:val="24"/>
        </w:rPr>
        <w:t>清算等过程中发生的“税费”，由双方按照</w:t>
      </w:r>
      <w:r>
        <w:rPr>
          <w:rFonts w:eastAsia="楷体_GB2312"/>
          <w:color w:val="000000"/>
          <w:sz w:val="24"/>
        </w:rPr>
        <w:t>相关</w:t>
      </w:r>
      <w:r>
        <w:rPr>
          <w:rFonts w:eastAsia="楷体_GB2312"/>
          <w:bCs/>
          <w:color w:val="000000"/>
          <w:sz w:val="24"/>
        </w:rPr>
        <w:t>“</w:t>
      </w:r>
      <w:r>
        <w:rPr>
          <w:rFonts w:eastAsia="楷体_GB2312"/>
          <w:color w:val="000000"/>
          <w:sz w:val="24"/>
        </w:rPr>
        <w:t>中国”“法律”规定各自</w:t>
      </w:r>
      <w:r>
        <w:rPr>
          <w:rFonts w:eastAsia="楷体_GB2312"/>
          <w:bCs/>
          <w:color w:val="000000"/>
          <w:sz w:val="24"/>
        </w:rPr>
        <w:t>承担，按照</w:t>
      </w:r>
      <w:r>
        <w:rPr>
          <w:rFonts w:eastAsia="楷体_GB2312"/>
          <w:color w:val="000000"/>
          <w:sz w:val="24"/>
        </w:rPr>
        <w:t>相关</w:t>
      </w:r>
      <w:r>
        <w:rPr>
          <w:rFonts w:eastAsia="楷体_GB2312"/>
          <w:bCs/>
          <w:color w:val="000000"/>
          <w:sz w:val="24"/>
        </w:rPr>
        <w:t>“</w:t>
      </w:r>
      <w:r>
        <w:rPr>
          <w:rFonts w:eastAsia="楷体_GB2312"/>
          <w:color w:val="000000"/>
          <w:sz w:val="24"/>
        </w:rPr>
        <w:t>中国”“法律”规定应由“</w:t>
      </w:r>
      <w:r>
        <w:rPr>
          <w:rFonts w:eastAsia="楷体_GB2312"/>
          <w:bCs/>
          <w:color w:val="000000"/>
          <w:sz w:val="24"/>
        </w:rPr>
        <w:t>信托财产</w:t>
      </w:r>
      <w:r>
        <w:rPr>
          <w:rFonts w:eastAsia="楷体_GB2312"/>
          <w:color w:val="000000"/>
          <w:sz w:val="24"/>
        </w:rPr>
        <w:t>”</w:t>
      </w:r>
      <w:r>
        <w:rPr>
          <w:rFonts w:eastAsia="楷体_GB2312"/>
          <w:bCs/>
          <w:color w:val="000000"/>
          <w:sz w:val="24"/>
        </w:rPr>
        <w:t>承担的由</w:t>
      </w:r>
      <w:r>
        <w:rPr>
          <w:rFonts w:eastAsia="楷体_GB2312"/>
          <w:color w:val="000000"/>
          <w:sz w:val="24"/>
        </w:rPr>
        <w:t>“</w:t>
      </w:r>
      <w:r>
        <w:rPr>
          <w:rFonts w:eastAsia="楷体_GB2312"/>
          <w:bCs/>
          <w:color w:val="000000"/>
          <w:sz w:val="24"/>
        </w:rPr>
        <w:t>信托财产</w:t>
      </w:r>
      <w:r>
        <w:rPr>
          <w:rFonts w:eastAsia="楷体_GB2312"/>
          <w:color w:val="000000"/>
          <w:sz w:val="24"/>
        </w:rPr>
        <w:t>”</w:t>
      </w:r>
      <w:r>
        <w:rPr>
          <w:rFonts w:eastAsia="楷体_GB2312"/>
          <w:bCs/>
          <w:color w:val="000000"/>
          <w:sz w:val="24"/>
        </w:rPr>
        <w:t>承担。</w:t>
      </w:r>
    </w:p>
    <w:p w14:paraId="3622E1F2">
      <w:pPr>
        <w:spacing w:line="360" w:lineRule="auto"/>
        <w:ind w:left="420"/>
        <w:rPr>
          <w:rFonts w:eastAsia="楷体_GB2312"/>
          <w:b/>
          <w:i/>
          <w:iCs/>
          <w:color w:val="FF0000"/>
          <w:sz w:val="24"/>
          <w:szCs w:val="32"/>
        </w:rPr>
      </w:pPr>
      <w:bookmarkStart w:id="1120" w:name="_Hlk221560019"/>
      <w:r>
        <w:rPr>
          <w:rFonts w:eastAsia="楷体_GB2312"/>
          <w:b/>
          <w:i/>
          <w:iCs/>
          <w:color w:val="FF0000"/>
          <w:sz w:val="24"/>
          <w:szCs w:val="32"/>
        </w:rPr>
        <w:t>【注：关于税收条款按当时所适用的“中国”“法律”适用和执行，可结合项目实际情况就税收种类以及承担方式等予以具体化进一步在合同中进行明确。】</w:t>
      </w:r>
      <w:bookmarkEnd w:id="1120"/>
    </w:p>
    <w:p w14:paraId="7342E3E4">
      <w:pPr>
        <w:numPr>
          <w:ilvl w:val="0"/>
          <w:numId w:val="7"/>
        </w:numPr>
        <w:spacing w:line="360" w:lineRule="auto"/>
        <w:outlineLvl w:val="0"/>
        <w:rPr>
          <w:rFonts w:eastAsia="楷体_GB2312"/>
          <w:b/>
          <w:color w:val="000000"/>
          <w:sz w:val="24"/>
        </w:rPr>
      </w:pPr>
      <w:bookmarkStart w:id="1121" w:name="_Toc219654356"/>
      <w:bookmarkEnd w:id="1121"/>
      <w:bookmarkStart w:id="1122" w:name="_Toc219654285"/>
      <w:bookmarkEnd w:id="1122"/>
      <w:bookmarkStart w:id="1123" w:name="_Toc219710686"/>
      <w:bookmarkStart w:id="1124" w:name="_Toc225538167"/>
      <w:r>
        <w:rPr>
          <w:rFonts w:eastAsia="楷体_GB2312"/>
          <w:b/>
          <w:color w:val="000000"/>
          <w:sz w:val="24"/>
        </w:rPr>
        <w:t>资产支持证券持有人大会</w:t>
      </w:r>
      <w:bookmarkEnd w:id="1123"/>
      <w:bookmarkEnd w:id="1124"/>
    </w:p>
    <w:p w14:paraId="682DA001">
      <w:pPr>
        <w:spacing w:line="360" w:lineRule="auto"/>
        <w:ind w:left="420"/>
        <w:rPr>
          <w:rFonts w:eastAsia="楷体_GB2312"/>
          <w:b/>
          <w:bCs/>
          <w:i/>
          <w:iCs/>
          <w:color w:val="000000"/>
          <w:sz w:val="24"/>
        </w:rPr>
      </w:pPr>
      <w:r>
        <w:rPr>
          <w:rFonts w:eastAsia="楷体_GB2312"/>
          <w:b/>
          <w:bCs/>
          <w:i/>
          <w:iCs/>
          <w:color w:val="FF0000"/>
          <w:sz w:val="24"/>
        </w:rPr>
        <w:t>【注：本款“资产支持证券持有人大会”仅供参考，就召集事由、表决比例等安排可根据项目实际情况进行调整，但应符合法律规定和监管要求。】</w:t>
      </w:r>
    </w:p>
    <w:p w14:paraId="39604212">
      <w:pPr>
        <w:numPr>
          <w:ilvl w:val="1"/>
          <w:numId w:val="7"/>
        </w:numPr>
        <w:spacing w:line="360" w:lineRule="auto"/>
        <w:rPr>
          <w:rFonts w:eastAsia="楷体_GB2312"/>
          <w:color w:val="000000"/>
          <w:sz w:val="24"/>
        </w:rPr>
      </w:pPr>
      <w:r>
        <w:rPr>
          <w:rFonts w:eastAsia="楷体_GB2312"/>
          <w:b/>
          <w:color w:val="000000"/>
          <w:sz w:val="24"/>
        </w:rPr>
        <w:t>组成</w:t>
      </w:r>
    </w:p>
    <w:p w14:paraId="3CD3821C">
      <w:pPr>
        <w:spacing w:line="360" w:lineRule="auto"/>
        <w:ind w:left="992"/>
        <w:rPr>
          <w:rFonts w:eastAsia="楷体_GB2312"/>
          <w:color w:val="000000"/>
          <w:sz w:val="24"/>
        </w:rPr>
      </w:pPr>
      <w:r>
        <w:rPr>
          <w:rFonts w:eastAsia="楷体_GB2312"/>
          <w:color w:val="000000"/>
          <w:sz w:val="24"/>
        </w:rPr>
        <w:t>各类别“资产支持证券的持有人”分别组成该类别“资产支持证券持有人大会”。通过购买“发行人”所发行的相关类别“资产支持证券”或通过交易购得相应类别的“资产支持证券”的“资产支持证券持有人”，自动成为该类别“资产支持证券持有人大会”的成员。具体而言，“优先级资产支持证券持有人”组成优先级“资产支持证券持有人大会”；“次级资产支持证券持有人”组成次级“资产支持证券持有人大会”。</w:t>
      </w:r>
    </w:p>
    <w:p w14:paraId="19333049">
      <w:pPr>
        <w:numPr>
          <w:ilvl w:val="1"/>
          <w:numId w:val="7"/>
        </w:numPr>
        <w:spacing w:line="360" w:lineRule="auto"/>
        <w:rPr>
          <w:rFonts w:eastAsia="楷体_GB2312"/>
          <w:color w:val="000000"/>
          <w:sz w:val="24"/>
        </w:rPr>
      </w:pPr>
      <w:bookmarkStart w:id="1125" w:name="_Ref38313464"/>
      <w:r>
        <w:rPr>
          <w:rFonts w:eastAsia="楷体_GB2312"/>
          <w:b/>
          <w:color w:val="000000"/>
          <w:sz w:val="24"/>
        </w:rPr>
        <w:t>会议召集</w:t>
      </w:r>
      <w:bookmarkEnd w:id="1125"/>
    </w:p>
    <w:p w14:paraId="5BD01844">
      <w:pPr>
        <w:numPr>
          <w:ilvl w:val="2"/>
          <w:numId w:val="7"/>
        </w:numPr>
        <w:spacing w:line="360" w:lineRule="auto"/>
        <w:ind w:left="1701" w:hanging="708"/>
        <w:rPr>
          <w:rFonts w:eastAsia="楷体_GB2312"/>
          <w:color w:val="000000"/>
          <w:sz w:val="24"/>
        </w:rPr>
      </w:pPr>
      <w:bookmarkStart w:id="1126" w:name="_Ref332308382"/>
      <w:r>
        <w:rPr>
          <w:rFonts w:eastAsia="楷体_GB2312"/>
          <w:color w:val="000000"/>
          <w:sz w:val="24"/>
        </w:rPr>
        <w:t>“资产支持证券持有人大会”为不定期会议，各类别“资产支持证券持有人大会”共同参会，分类表决。“资产支持证券持有人大会”由“受托人”召集。发生下列事由之一的，“受托人”应召集“资产支持证券持有人</w:t>
      </w:r>
      <w:r>
        <w:rPr>
          <w:rFonts w:eastAsia="楷体_GB2312"/>
          <w:color w:val="000000"/>
          <w:w w:val="0"/>
          <w:sz w:val="24"/>
        </w:rPr>
        <w:t>大会</w:t>
      </w:r>
      <w:r>
        <w:rPr>
          <w:rFonts w:eastAsia="楷体_GB2312"/>
          <w:color w:val="000000"/>
          <w:sz w:val="24"/>
        </w:rPr>
        <w:t>”：</w:t>
      </w:r>
      <w:bookmarkEnd w:id="1126"/>
    </w:p>
    <w:p w14:paraId="593FC7F0">
      <w:pPr>
        <w:numPr>
          <w:ilvl w:val="0"/>
          <w:numId w:val="35"/>
        </w:numPr>
        <w:spacing w:line="360" w:lineRule="auto"/>
        <w:rPr>
          <w:rFonts w:eastAsia="楷体_GB2312"/>
          <w:color w:val="000000"/>
          <w:sz w:val="24"/>
        </w:rPr>
      </w:pPr>
      <w:bookmarkStart w:id="1127" w:name="_Ref332310609"/>
      <w:bookmarkStart w:id="1128" w:name="_Toc111281812"/>
      <w:r>
        <w:rPr>
          <w:rFonts w:eastAsia="楷体_GB2312"/>
          <w:color w:val="000000"/>
          <w:sz w:val="24"/>
        </w:rPr>
        <w:t>提前终止“信托”（不包括因完成“清仓回购”而导致的“信托”提前终止以及根据本合同第</w:t>
      </w:r>
      <w:r>
        <w:rPr>
          <w:rFonts w:eastAsia="楷体_GB2312"/>
          <w:color w:val="000000"/>
          <w:sz w:val="24"/>
        </w:rPr>
        <w:fldChar w:fldCharType="begin"/>
      </w:r>
      <w:r>
        <w:rPr>
          <w:rFonts w:eastAsia="楷体_GB2312"/>
          <w:color w:val="000000"/>
          <w:sz w:val="24"/>
        </w:rPr>
        <w:instrText xml:space="preserve"> REF _Ref152752021 \r \h  \* MERGEFORMAT </w:instrText>
      </w:r>
      <w:r>
        <w:rPr>
          <w:rFonts w:eastAsia="楷体_GB2312"/>
          <w:color w:val="000000"/>
          <w:sz w:val="24"/>
        </w:rPr>
        <w:fldChar w:fldCharType="separate"/>
      </w:r>
      <w:r>
        <w:rPr>
          <w:rFonts w:eastAsia="楷体_GB2312"/>
          <w:color w:val="000000"/>
          <w:sz w:val="24"/>
        </w:rPr>
        <w:t>14.1</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_Ref152752033 \r \h  \* MERGEFORMAT </w:instrText>
      </w:r>
      <w:r>
        <w:rPr>
          <w:rFonts w:eastAsia="楷体_GB2312"/>
          <w:color w:val="000000"/>
          <w:sz w:val="24"/>
        </w:rPr>
        <w:fldChar w:fldCharType="separate"/>
      </w:r>
      <w:r>
        <w:rPr>
          <w:rFonts w:eastAsia="楷体_GB2312"/>
          <w:color w:val="000000"/>
          <w:sz w:val="24"/>
        </w:rPr>
        <w:t>(6)</w:t>
      </w:r>
      <w:r>
        <w:rPr>
          <w:rFonts w:eastAsia="楷体_GB2312"/>
          <w:color w:val="000000"/>
          <w:sz w:val="24"/>
        </w:rPr>
        <w:fldChar w:fldCharType="end"/>
      </w:r>
      <w:r>
        <w:rPr>
          <w:rFonts w:eastAsia="楷体_GB2312"/>
          <w:color w:val="000000"/>
          <w:sz w:val="24"/>
        </w:rPr>
        <w:t>项导致的“信托”提前终止）；</w:t>
      </w:r>
      <w:bookmarkEnd w:id="1127"/>
    </w:p>
    <w:p w14:paraId="7EE616DA">
      <w:pPr>
        <w:numPr>
          <w:ilvl w:val="0"/>
          <w:numId w:val="35"/>
        </w:numPr>
        <w:spacing w:line="360" w:lineRule="auto"/>
        <w:rPr>
          <w:rFonts w:eastAsia="楷体_GB2312"/>
          <w:color w:val="000000"/>
          <w:sz w:val="24"/>
        </w:rPr>
      </w:pPr>
      <w:bookmarkStart w:id="1129" w:name="_Ref332897976"/>
      <w:r>
        <w:rPr>
          <w:rFonts w:eastAsia="楷体_GB2312"/>
          <w:color w:val="000000"/>
          <w:sz w:val="24"/>
        </w:rPr>
        <w:t>批准涉及修改“资产支持证券持有人”权利或“资产支持证券”基本特征的提案，具体包括但不限于：改变本合同第</w:t>
      </w:r>
      <w:r>
        <w:rPr>
          <w:rFonts w:eastAsia="楷体_GB2312"/>
          <w:color w:val="000000"/>
        </w:rPr>
        <w:fldChar w:fldCharType="begin"/>
      </w:r>
      <w:r>
        <w:rPr>
          <w:rFonts w:eastAsia="楷体_GB2312"/>
          <w:color w:val="000000"/>
        </w:rPr>
        <w:instrText xml:space="preserve"> REF _Ref201563930 \r \h  \* MERGEFORMAT </w:instrText>
      </w:r>
      <w:r>
        <w:rPr>
          <w:rFonts w:eastAsia="楷体_GB2312"/>
          <w:color w:val="000000"/>
        </w:rPr>
        <w:fldChar w:fldCharType="separate"/>
      </w:r>
      <w:r>
        <w:rPr>
          <w:rFonts w:eastAsia="楷体_GB2312"/>
          <w:color w:val="000000"/>
          <w:sz w:val="24"/>
        </w:rPr>
        <w:t>11</w:t>
      </w:r>
      <w:r>
        <w:rPr>
          <w:rFonts w:eastAsia="楷体_GB2312"/>
          <w:color w:val="000000"/>
        </w:rPr>
        <w:fldChar w:fldCharType="end"/>
      </w:r>
      <w:r>
        <w:rPr>
          <w:rFonts w:eastAsia="楷体_GB2312"/>
          <w:color w:val="000000"/>
          <w:sz w:val="24"/>
        </w:rPr>
        <w:t>条约定的“信托财产”的分配顺序、改变“资产支持证券”的本金金额或利率或“次级资产支持证券固定资金成本”、改变对“资产支持证券”的支付币种</w:t>
      </w:r>
      <w:bookmarkStart w:id="1130" w:name="_Hlk152714897"/>
      <w:r>
        <w:rPr>
          <w:rFonts w:eastAsia="楷体_GB2312"/>
          <w:color w:val="000000"/>
          <w:sz w:val="24"/>
        </w:rPr>
        <w:t>、</w:t>
      </w:r>
      <w:bookmarkEnd w:id="1130"/>
      <w:r>
        <w:rPr>
          <w:rFonts w:eastAsia="楷体_GB2312"/>
          <w:color w:val="000000"/>
          <w:sz w:val="24"/>
        </w:rPr>
        <w:t>修改对某一项“全体同意事项”或“特别决议事项”获得通过所需的票数等；</w:t>
      </w:r>
      <w:bookmarkEnd w:id="1129"/>
    </w:p>
    <w:p w14:paraId="5C07B323">
      <w:pPr>
        <w:numPr>
          <w:ilvl w:val="0"/>
          <w:numId w:val="35"/>
        </w:numPr>
        <w:spacing w:line="360" w:lineRule="auto"/>
        <w:rPr>
          <w:rFonts w:eastAsia="楷体_GB2312"/>
          <w:color w:val="000000"/>
          <w:sz w:val="24"/>
        </w:rPr>
      </w:pPr>
      <w:bookmarkStart w:id="1131" w:name="_Ref458958782"/>
      <w:bookmarkStart w:id="1132" w:name="_Ref48080577"/>
      <w:r>
        <w:rPr>
          <w:rFonts w:eastAsia="楷体_GB2312"/>
          <w:color w:val="000000"/>
          <w:sz w:val="24"/>
        </w:rPr>
        <w:t>“受托人”提议由“资产支持证券持有人大会”对除本合同第</w:t>
      </w:r>
      <w:r>
        <w:rPr>
          <w:rFonts w:eastAsia="楷体_GB2312"/>
          <w:color w:val="000000"/>
          <w:sz w:val="24"/>
        </w:rPr>
        <w:fldChar w:fldCharType="begin"/>
      </w:r>
      <w:r>
        <w:rPr>
          <w:rFonts w:eastAsia="楷体_GB2312"/>
          <w:color w:val="000000"/>
          <w:sz w:val="24"/>
        </w:rPr>
        <w:instrText xml:space="preserve"> REF _Ref47872335 \r \h  \* MERGEFORMAT </w:instrText>
      </w:r>
      <w:r>
        <w:rPr>
          <w:rFonts w:eastAsia="楷体_GB2312"/>
          <w:color w:val="000000"/>
          <w:sz w:val="24"/>
        </w:rPr>
        <w:fldChar w:fldCharType="separate"/>
      </w:r>
      <w:r>
        <w:rPr>
          <w:rFonts w:eastAsia="楷体_GB2312"/>
          <w:color w:val="000000"/>
          <w:sz w:val="24"/>
        </w:rPr>
        <w:t>12.1.5</w:t>
      </w:r>
      <w:r>
        <w:rPr>
          <w:rFonts w:eastAsia="楷体_GB2312"/>
          <w:color w:val="000000"/>
          <w:sz w:val="24"/>
        </w:rPr>
        <w:fldChar w:fldCharType="end"/>
      </w:r>
      <w:r>
        <w:rPr>
          <w:rFonts w:eastAsia="楷体_GB2312"/>
          <w:color w:val="000000"/>
          <w:sz w:val="24"/>
        </w:rPr>
        <w:t>款以外的贷款服务机构的“资产处置方案”进行审议</w:t>
      </w:r>
      <w:bookmarkEnd w:id="1131"/>
      <w:r>
        <w:rPr>
          <w:rFonts w:eastAsia="楷体_GB2312"/>
          <w:color w:val="000000"/>
          <w:sz w:val="24"/>
        </w:rPr>
        <w:t>和作出决议的；</w:t>
      </w:r>
      <w:bookmarkEnd w:id="1132"/>
    </w:p>
    <w:p w14:paraId="2E702EFE">
      <w:pPr>
        <w:numPr>
          <w:ilvl w:val="0"/>
          <w:numId w:val="35"/>
        </w:numPr>
        <w:spacing w:line="360" w:lineRule="auto"/>
        <w:rPr>
          <w:rFonts w:eastAsia="楷体_GB2312"/>
          <w:color w:val="000000"/>
          <w:sz w:val="24"/>
        </w:rPr>
      </w:pPr>
      <w:bookmarkStart w:id="1133" w:name="_Ref463857676"/>
      <w:r>
        <w:rPr>
          <w:rFonts w:eastAsia="楷体_GB2312"/>
          <w:color w:val="000000"/>
          <w:sz w:val="24"/>
        </w:rPr>
        <w:t>批准“信托”清算时“非现金信托财产”的清算方案；</w:t>
      </w:r>
      <w:bookmarkEnd w:id="1133"/>
    </w:p>
    <w:p w14:paraId="20C7819E">
      <w:pPr>
        <w:numPr>
          <w:ilvl w:val="0"/>
          <w:numId w:val="35"/>
        </w:numPr>
        <w:spacing w:line="360" w:lineRule="auto"/>
        <w:rPr>
          <w:rFonts w:eastAsia="楷体_GB2312"/>
          <w:color w:val="000000"/>
          <w:sz w:val="24"/>
        </w:rPr>
      </w:pPr>
      <w:bookmarkStart w:id="1134" w:name="_Ref47873616"/>
      <w:bookmarkStart w:id="1135" w:name="_Ref185867952"/>
      <w:r>
        <w:rPr>
          <w:rFonts w:eastAsia="楷体_GB2312"/>
          <w:color w:val="000000"/>
          <w:sz w:val="24"/>
        </w:rPr>
        <w:t>提高“贷款服务机构”的“处置费用”、“贷款服务机构”</w:t>
      </w:r>
      <w:bookmarkEnd w:id="1134"/>
      <w:bookmarkEnd w:id="1135"/>
      <w:r>
        <w:rPr>
          <w:rFonts w:eastAsia="楷体_GB2312"/>
          <w:color w:val="000000"/>
          <w:sz w:val="24"/>
        </w:rPr>
        <w:t>的“服务</w:t>
      </w:r>
      <w:r>
        <w:rPr>
          <w:rFonts w:hint="eastAsia" w:eastAsia="楷体_GB2312"/>
          <w:color w:val="000000"/>
          <w:sz w:val="24"/>
        </w:rPr>
        <w:t>费</w:t>
      </w:r>
      <w:r>
        <w:rPr>
          <w:rFonts w:eastAsia="楷体_GB2312"/>
          <w:color w:val="000000"/>
          <w:sz w:val="24"/>
        </w:rPr>
        <w:t>”；</w:t>
      </w:r>
    </w:p>
    <w:bookmarkEnd w:id="1128"/>
    <w:p w14:paraId="20C45ED8">
      <w:pPr>
        <w:numPr>
          <w:ilvl w:val="0"/>
          <w:numId w:val="35"/>
        </w:numPr>
        <w:spacing w:line="360" w:lineRule="auto"/>
        <w:rPr>
          <w:rFonts w:eastAsia="楷体_GB2312"/>
          <w:color w:val="000000"/>
        </w:rPr>
      </w:pPr>
      <w:bookmarkStart w:id="1136" w:name="_Ref332897900"/>
      <w:r>
        <w:rPr>
          <w:rFonts w:eastAsia="楷体_GB2312"/>
          <w:color w:val="000000"/>
          <w:sz w:val="24"/>
        </w:rPr>
        <w:t>“受托人”提出辞任、发生“受托人解任事件”、“贷款服务机构解任事件”或“资金保管机构解任事件”，须根据“交易文件”更换“受托人”、“贷款服务机构”或“资金保管机构”；</w:t>
      </w:r>
      <w:bookmarkEnd w:id="1136"/>
    </w:p>
    <w:p w14:paraId="28775325">
      <w:pPr>
        <w:numPr>
          <w:ilvl w:val="0"/>
          <w:numId w:val="35"/>
        </w:numPr>
        <w:spacing w:line="360" w:lineRule="auto"/>
        <w:rPr>
          <w:rFonts w:eastAsia="楷体_GB2312"/>
          <w:color w:val="000000"/>
        </w:rPr>
      </w:pPr>
      <w:r>
        <w:rPr>
          <w:rFonts w:eastAsia="楷体_GB2312"/>
          <w:color w:val="000000"/>
          <w:sz w:val="24"/>
        </w:rPr>
        <w:t>决定本“信托”项下“后备贷款服务机构”委任事宜；</w:t>
      </w:r>
    </w:p>
    <w:p w14:paraId="04BD81A5">
      <w:pPr>
        <w:numPr>
          <w:ilvl w:val="0"/>
          <w:numId w:val="35"/>
        </w:numPr>
        <w:spacing w:line="360" w:lineRule="auto"/>
        <w:rPr>
          <w:rFonts w:eastAsia="楷体_GB2312"/>
          <w:color w:val="000000"/>
        </w:rPr>
      </w:pPr>
      <w:r>
        <w:rPr>
          <w:rFonts w:eastAsia="楷体_GB2312"/>
          <w:color w:val="000000"/>
          <w:sz w:val="24"/>
        </w:rPr>
        <w:t>解除或免除“受托人”根据任何“交易文件”本应承担的任何责任和义务；</w:t>
      </w:r>
    </w:p>
    <w:p w14:paraId="75234A30">
      <w:pPr>
        <w:numPr>
          <w:ilvl w:val="0"/>
          <w:numId w:val="35"/>
        </w:numPr>
        <w:spacing w:line="360" w:lineRule="auto"/>
        <w:rPr>
          <w:rFonts w:eastAsia="楷体_GB2312"/>
          <w:color w:val="000000"/>
          <w:sz w:val="24"/>
        </w:rPr>
      </w:pPr>
      <w:r>
        <w:rPr>
          <w:rFonts w:eastAsia="楷体_GB2312"/>
          <w:color w:val="000000"/>
          <w:sz w:val="24"/>
        </w:rPr>
        <w:t>“《信托合同》”或其他“交易文件”的重大修改、更正、补充，但该等修改属于对“资产支持证券持有人”权利义务无实质性影响的改动或是根据适用</w:t>
      </w:r>
      <w:r>
        <w:rPr>
          <w:rFonts w:eastAsia="楷体_GB2312"/>
          <w:bCs/>
          <w:color w:val="000000"/>
          <w:sz w:val="24"/>
        </w:rPr>
        <w:t>“</w:t>
      </w:r>
      <w:r>
        <w:rPr>
          <w:rFonts w:eastAsia="楷体_GB2312"/>
          <w:color w:val="000000"/>
          <w:sz w:val="24"/>
        </w:rPr>
        <w:t>中国”“法律”或者“监管机关”的强制性要求而做出的除外；</w:t>
      </w:r>
    </w:p>
    <w:p w14:paraId="65E21CEE">
      <w:pPr>
        <w:numPr>
          <w:ilvl w:val="0"/>
          <w:numId w:val="35"/>
        </w:numPr>
        <w:spacing w:line="360" w:lineRule="auto"/>
        <w:rPr>
          <w:rFonts w:eastAsia="楷体_GB2312"/>
          <w:color w:val="000000"/>
          <w:sz w:val="24"/>
        </w:rPr>
      </w:pPr>
      <w:bookmarkStart w:id="1137" w:name="_Ref456785358"/>
      <w:r>
        <w:rPr>
          <w:rFonts w:eastAsia="楷体_GB2312"/>
          <w:color w:val="000000"/>
          <w:sz w:val="24"/>
        </w:rPr>
        <w:t>提高“受托人”服务报酬；</w:t>
      </w:r>
      <w:bookmarkEnd w:id="1137"/>
    </w:p>
    <w:p w14:paraId="2E7CBC4A">
      <w:pPr>
        <w:numPr>
          <w:ilvl w:val="0"/>
          <w:numId w:val="35"/>
        </w:numPr>
        <w:spacing w:line="360" w:lineRule="auto"/>
        <w:rPr>
          <w:rFonts w:eastAsia="楷体_GB2312"/>
          <w:color w:val="000000"/>
        </w:rPr>
      </w:pPr>
      <w:r>
        <w:rPr>
          <w:rFonts w:eastAsia="楷体_GB2312"/>
          <w:color w:val="000000"/>
          <w:sz w:val="24"/>
        </w:rPr>
        <w:t>授权“受托人”签署并做出全部必要文件、行动或事项，以便执行“资产支持证券持有人大会”所形成的决议；</w:t>
      </w:r>
    </w:p>
    <w:p w14:paraId="025036F5">
      <w:pPr>
        <w:numPr>
          <w:ilvl w:val="0"/>
          <w:numId w:val="35"/>
        </w:numPr>
        <w:spacing w:line="360" w:lineRule="auto"/>
        <w:rPr>
          <w:rFonts w:eastAsia="楷体_GB2312"/>
          <w:color w:val="000000"/>
        </w:rPr>
      </w:pPr>
      <w:r>
        <w:rPr>
          <w:rFonts w:eastAsia="楷体_GB2312"/>
          <w:color w:val="000000"/>
          <w:sz w:val="24"/>
        </w:rPr>
        <w:t>选任代表（无论其是否为“资产支持证券持有人”），授权该代表执行“资产支持证券持有人大会”所形成的决议；</w:t>
      </w:r>
    </w:p>
    <w:p w14:paraId="5A5900D6">
      <w:pPr>
        <w:numPr>
          <w:ilvl w:val="0"/>
          <w:numId w:val="35"/>
        </w:numPr>
        <w:spacing w:line="360" w:lineRule="auto"/>
        <w:rPr>
          <w:rFonts w:eastAsia="楷体_GB2312"/>
          <w:color w:val="000000"/>
          <w:sz w:val="24"/>
        </w:rPr>
      </w:pPr>
      <w:r>
        <w:rPr>
          <w:rFonts w:eastAsia="楷体_GB2312"/>
          <w:color w:val="000000"/>
          <w:sz w:val="24"/>
        </w:rPr>
        <w:t>其他根据“交易文件”的约定或“受托人”认为需由“资产支持证券持有人大会”决议的事项。</w:t>
      </w:r>
    </w:p>
    <w:p w14:paraId="2381F58D">
      <w:pPr>
        <w:numPr>
          <w:ilvl w:val="2"/>
          <w:numId w:val="7"/>
        </w:numPr>
        <w:spacing w:line="360" w:lineRule="auto"/>
        <w:ind w:left="1701" w:hanging="708"/>
        <w:rPr>
          <w:rFonts w:eastAsia="楷体_GB2312"/>
          <w:color w:val="000000"/>
          <w:sz w:val="24"/>
        </w:rPr>
      </w:pPr>
      <w:r>
        <w:rPr>
          <w:rFonts w:eastAsia="楷体_GB2312"/>
          <w:color w:val="000000"/>
          <w:sz w:val="24"/>
        </w:rPr>
        <w:t>就每一类</w:t>
      </w:r>
      <w:r>
        <w:rPr>
          <w:rFonts w:eastAsia="楷体_GB2312"/>
          <w:color w:val="000000"/>
          <w:w w:val="0"/>
          <w:sz w:val="24"/>
        </w:rPr>
        <w:t>别的</w:t>
      </w:r>
      <w:r>
        <w:rPr>
          <w:rFonts w:eastAsia="楷体_GB2312"/>
          <w:color w:val="000000"/>
          <w:sz w:val="24"/>
        </w:rPr>
        <w:t>“资产支持证券持有人”组成的“资产支持证券持有人大会”而言，单独或合计持有本类别“资产支持证券”“未偿本金余额”10%或以上的“资产支持证券持有人”，为“资产支持证券持有人”的共同利益事项，可以请求“受托人”召集“资产支持证券持有人大会”。提议“受托人”召集大会的“资产支持证券持有人”应提交书面召集大会申请，该申请应载明提议事项及理由。</w:t>
      </w:r>
    </w:p>
    <w:p w14:paraId="4BB5EA9A">
      <w:pPr>
        <w:spacing w:line="360" w:lineRule="auto"/>
        <w:ind w:left="1701"/>
        <w:rPr>
          <w:rFonts w:eastAsia="楷体_GB2312"/>
          <w:b/>
          <w:bCs/>
          <w:i/>
          <w:iCs/>
          <w:color w:val="FF0000"/>
          <w:sz w:val="24"/>
        </w:rPr>
      </w:pPr>
      <w:r>
        <w:rPr>
          <w:rFonts w:eastAsia="楷体_GB2312"/>
          <w:b/>
          <w:bCs/>
          <w:i/>
          <w:iCs/>
          <w:color w:val="FF0000"/>
          <w:sz w:val="24"/>
        </w:rPr>
        <w:t>【注：在“次级资产支持证券”的本金全部兑付完毕后，如仍需召开“资产支持证券持有人大会”的，可考虑补充约定：本合同中关于“资产支持证券持有人”召集、出席、表决的比例均以届时“登记托管机构”记载的各“次级资产支持证券持有人”持有的“次级资产支持证券”的份额为基准进行计算，不再以“资产支持证券”的“未偿本金余额”为基准进行计算。】</w:t>
      </w:r>
    </w:p>
    <w:p w14:paraId="1CF6019F">
      <w:pPr>
        <w:numPr>
          <w:ilvl w:val="2"/>
          <w:numId w:val="7"/>
        </w:numPr>
        <w:spacing w:line="360" w:lineRule="auto"/>
        <w:ind w:left="1701" w:hanging="708"/>
        <w:rPr>
          <w:rFonts w:eastAsia="楷体_GB2312"/>
          <w:color w:val="000000"/>
          <w:w w:val="0"/>
          <w:sz w:val="24"/>
        </w:rPr>
      </w:pPr>
      <w:r>
        <w:rPr>
          <w:rFonts w:eastAsia="楷体_GB2312"/>
          <w:color w:val="000000"/>
          <w:sz w:val="24"/>
        </w:rPr>
        <w:t>“资产支持证券持有人”依本合同的约定申请召集“资产支持证券持有人大会”，“受托人”拒绝或因其他理由不能召集时，应于书面申请提出后【】个“工作日”内以书面形式通知该“资产支持证券持有人”。</w:t>
      </w:r>
    </w:p>
    <w:p w14:paraId="24A8E4EA">
      <w:pPr>
        <w:numPr>
          <w:ilvl w:val="2"/>
          <w:numId w:val="7"/>
        </w:numPr>
        <w:spacing w:line="360" w:lineRule="auto"/>
        <w:ind w:left="1701" w:hanging="708"/>
        <w:rPr>
          <w:rFonts w:eastAsia="楷体_GB2312"/>
          <w:color w:val="000000"/>
          <w:sz w:val="24"/>
          <w:lang w:bidi="th-TH"/>
        </w:rPr>
      </w:pPr>
      <w:r>
        <w:rPr>
          <w:rFonts w:eastAsia="楷体_GB2312"/>
          <w:color w:val="000000"/>
          <w:w w:val="0"/>
          <w:sz w:val="24"/>
        </w:rPr>
        <w:t>“资产支持</w:t>
      </w:r>
      <w:r>
        <w:rPr>
          <w:rFonts w:eastAsia="楷体_GB2312"/>
          <w:color w:val="000000"/>
          <w:sz w:val="24"/>
        </w:rPr>
        <w:t>证券持有人”依本合同的约定提出书面申请后【】个“工作日”内，“受托人”未召集或因其他理由不能召集时，单独或合计持有本类别“资产支持证券”“未偿本金余额”【】%或以上的“资产支持证券持有人”，可以在报“人民银行”备案后自行召集，并通知“受托人”出席。“资产支持证券持有人大会”开会时，“受托人”应出席会议，并接受“资产支持证券持有人大会”的询问。</w:t>
      </w:r>
    </w:p>
    <w:p w14:paraId="7E62A8AA">
      <w:pPr>
        <w:numPr>
          <w:ilvl w:val="2"/>
          <w:numId w:val="7"/>
        </w:numPr>
        <w:spacing w:line="360" w:lineRule="auto"/>
        <w:ind w:left="1701" w:hanging="708"/>
        <w:rPr>
          <w:rFonts w:eastAsia="楷体_GB2312"/>
          <w:color w:val="000000"/>
          <w:sz w:val="24"/>
        </w:rPr>
      </w:pPr>
      <w:r>
        <w:rPr>
          <w:rFonts w:eastAsia="楷体_GB2312"/>
          <w:color w:val="000000"/>
          <w:sz w:val="24"/>
        </w:rPr>
        <w:t>“受托人”提议召开或“资产支持证券持有人”自行召集“资产支持证券持有人大会”时，召集人应当至少提前【】个“工作日”</w:t>
      </w:r>
      <w:r>
        <w:rPr>
          <w:rFonts w:hint="eastAsia" w:eastAsia="楷体_GB2312"/>
          <w:color w:val="000000"/>
          <w:sz w:val="24"/>
        </w:rPr>
        <w:t>通过</w:t>
      </w:r>
      <w:r>
        <w:rPr>
          <w:rFonts w:eastAsia="楷体_GB2312"/>
          <w:color w:val="000000"/>
          <w:sz w:val="24"/>
        </w:rPr>
        <w:t>“交易商协会”综合业务和信息服务平台、中国货币网、中国债券信息网、“北金所”官方网站及“交易商协会”认可的其他方式公告“资产支持证券持有人大会”的召开时间、地点、会议方式、审议事项、议事程序和表决方式等事项，以通知全体“资产支持证券持有人”相关会议事宜。任何类别的“资产支持证券持有人大会”均不得对未经公告的审议事项作出决议。</w:t>
      </w:r>
    </w:p>
    <w:p w14:paraId="29ED82C9">
      <w:pPr>
        <w:numPr>
          <w:ilvl w:val="1"/>
          <w:numId w:val="7"/>
        </w:numPr>
        <w:spacing w:line="360" w:lineRule="auto"/>
        <w:rPr>
          <w:rFonts w:eastAsia="楷体_GB2312"/>
          <w:color w:val="000000"/>
          <w:sz w:val="24"/>
        </w:rPr>
      </w:pPr>
      <w:r>
        <w:rPr>
          <w:rFonts w:eastAsia="楷体_GB2312"/>
          <w:b/>
          <w:color w:val="000000"/>
          <w:sz w:val="24"/>
        </w:rPr>
        <w:t>表决权</w:t>
      </w:r>
    </w:p>
    <w:p w14:paraId="17BF2AC5">
      <w:pPr>
        <w:numPr>
          <w:ilvl w:val="2"/>
          <w:numId w:val="7"/>
        </w:numPr>
        <w:spacing w:line="360" w:lineRule="auto"/>
        <w:ind w:left="1701" w:hanging="708"/>
        <w:rPr>
          <w:rFonts w:eastAsia="楷体_GB2312"/>
          <w:color w:val="000000"/>
          <w:sz w:val="24"/>
        </w:rPr>
      </w:pPr>
      <w:r>
        <w:rPr>
          <w:rFonts w:eastAsia="楷体_GB2312"/>
          <w:color w:val="000000"/>
          <w:sz w:val="24"/>
        </w:rPr>
        <w:t>出席会议的“资产支持证券持有人”，就其持有的“资产支持证券”每100元人民币面值，拥有一票表决权。</w:t>
      </w:r>
    </w:p>
    <w:p w14:paraId="1BD88190">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“资产支持证券持有人大会”召开之日前第【】个</w:t>
      </w:r>
      <w:r>
        <w:rPr>
          <w:rFonts w:eastAsia="楷体_GB2312"/>
          <w:bCs/>
          <w:color w:val="000000"/>
          <w:sz w:val="24"/>
        </w:rPr>
        <w:t>“</w:t>
      </w:r>
      <w:r>
        <w:rPr>
          <w:rFonts w:eastAsia="楷体_GB2312"/>
          <w:color w:val="000000"/>
          <w:sz w:val="24"/>
        </w:rPr>
        <w:t>工作日</w:t>
      </w:r>
      <w:r>
        <w:rPr>
          <w:rFonts w:eastAsia="楷体_GB2312"/>
          <w:bCs/>
          <w:color w:val="000000"/>
          <w:sz w:val="24"/>
        </w:rPr>
        <w:t>”为表决权登记日。表决权登记日日终时的</w:t>
      </w:r>
      <w:r>
        <w:rPr>
          <w:rFonts w:eastAsia="楷体_GB2312"/>
          <w:color w:val="000000"/>
          <w:sz w:val="24"/>
        </w:rPr>
        <w:t>“资产支持证券持有人”为有权出席“资产支持证券持有人大会”的“资产支持证券持有人”，并根据其持有的“资产支持证券”享有相应的表决权。</w:t>
      </w:r>
      <w:r>
        <w:rPr>
          <w:rFonts w:eastAsia="楷体_GB2312"/>
          <w:bCs/>
          <w:color w:val="000000"/>
          <w:sz w:val="24"/>
        </w:rPr>
        <w:t>表决权登记日日终时的</w:t>
      </w:r>
      <w:r>
        <w:rPr>
          <w:rFonts w:eastAsia="楷体_GB2312"/>
          <w:color w:val="000000"/>
          <w:sz w:val="24"/>
        </w:rPr>
        <w:t>“资产支持证券持有人”依据“登记托管机构”所记载的相关数据信息确定。</w:t>
      </w:r>
    </w:p>
    <w:p w14:paraId="5BEF3B6A">
      <w:pPr>
        <w:numPr>
          <w:ilvl w:val="2"/>
          <w:numId w:val="7"/>
        </w:numPr>
        <w:spacing w:line="360" w:lineRule="auto"/>
        <w:ind w:left="1701" w:hanging="708"/>
        <w:rPr>
          <w:rFonts w:eastAsia="楷体_GB2312"/>
          <w:color w:val="000000"/>
          <w:sz w:val="24"/>
        </w:rPr>
      </w:pPr>
      <w:bookmarkStart w:id="1138" w:name="_Ref152599357"/>
      <w:r>
        <w:rPr>
          <w:rFonts w:eastAsia="楷体_GB2312"/>
          <w:color w:val="000000"/>
          <w:sz w:val="24"/>
        </w:rPr>
        <w:t>法人或其他组织为“资产支持证券持有人”时，应当委托代理人代表该“资产支持证券持有人”出席</w:t>
      </w:r>
      <w:r>
        <w:rPr>
          <w:rFonts w:eastAsia="楷体_GB2312"/>
          <w:bCs/>
          <w:color w:val="000000"/>
          <w:sz w:val="24"/>
        </w:rPr>
        <w:t>“</w:t>
      </w:r>
      <w:r>
        <w:rPr>
          <w:rFonts w:eastAsia="楷体_GB2312"/>
          <w:color w:val="000000"/>
          <w:sz w:val="24"/>
        </w:rPr>
        <w:t>资产支持证券持有人大会</w:t>
      </w:r>
      <w:r>
        <w:rPr>
          <w:rFonts w:eastAsia="楷体_GB2312"/>
          <w:bCs/>
          <w:color w:val="000000"/>
          <w:sz w:val="24"/>
        </w:rPr>
        <w:t>”</w:t>
      </w:r>
      <w:r>
        <w:rPr>
          <w:rFonts w:eastAsia="楷体_GB2312"/>
          <w:color w:val="000000"/>
          <w:sz w:val="24"/>
        </w:rPr>
        <w:t>，代理人应向“受托人”提供“资产支持证券持有人”出具的载明授权范围的授权委托书，并在授权范围内行使表决权。每位“资产支持证券持有人”仅能出具一份授权委托书并委托一位代理人。</w:t>
      </w:r>
      <w:bookmarkEnd w:id="1138"/>
    </w:p>
    <w:p w14:paraId="03C74401">
      <w:pPr>
        <w:numPr>
          <w:ilvl w:val="2"/>
          <w:numId w:val="7"/>
        </w:numPr>
        <w:spacing w:line="360" w:lineRule="auto"/>
        <w:ind w:left="1701" w:hanging="708"/>
        <w:rPr>
          <w:rFonts w:eastAsia="楷体_GB2312"/>
          <w:color w:val="000000"/>
          <w:sz w:val="24"/>
        </w:rPr>
      </w:pPr>
      <w:r>
        <w:rPr>
          <w:rFonts w:eastAsia="楷体_GB2312"/>
          <w:color w:val="000000"/>
          <w:sz w:val="24"/>
        </w:rPr>
        <w:t>出席“资产支持证券持有人大会”的同一“资产支持证券持有人”，就同一议案不得分割行使其表决权。法人或其他组织为“资产支持证券持有人”时，其代表人仅限于一人。</w:t>
      </w:r>
    </w:p>
    <w:p w14:paraId="0E887C76">
      <w:pPr>
        <w:numPr>
          <w:ilvl w:val="1"/>
          <w:numId w:val="7"/>
        </w:numPr>
        <w:spacing w:line="360" w:lineRule="auto"/>
        <w:rPr>
          <w:rFonts w:eastAsia="楷体_GB2312"/>
          <w:color w:val="000000"/>
          <w:sz w:val="24"/>
        </w:rPr>
      </w:pPr>
      <w:bookmarkStart w:id="1139" w:name="_Ref153447902"/>
      <w:r>
        <w:rPr>
          <w:rFonts w:eastAsia="楷体_GB2312"/>
          <w:b/>
          <w:color w:val="000000"/>
          <w:sz w:val="24"/>
        </w:rPr>
        <w:t>会议方式</w:t>
      </w:r>
      <w:bookmarkEnd w:id="1139"/>
    </w:p>
    <w:p w14:paraId="251B60C8">
      <w:pPr>
        <w:numPr>
          <w:ilvl w:val="2"/>
          <w:numId w:val="7"/>
        </w:numPr>
        <w:spacing w:line="360" w:lineRule="auto"/>
        <w:ind w:left="1701" w:hanging="708"/>
        <w:rPr>
          <w:rFonts w:eastAsia="楷体_GB2312"/>
          <w:color w:val="000000"/>
          <w:sz w:val="24"/>
        </w:rPr>
      </w:pPr>
      <w:r>
        <w:rPr>
          <w:rFonts w:eastAsia="楷体_GB2312"/>
          <w:color w:val="000000"/>
          <w:sz w:val="24"/>
        </w:rPr>
        <w:t>“资产支持证券持有人大会”可以采取现场或通讯方式进行，“资产支持证券持有人”可以以现场方式或通讯方式行使表决权。</w:t>
      </w:r>
    </w:p>
    <w:p w14:paraId="265CAF0D">
      <w:pPr>
        <w:numPr>
          <w:ilvl w:val="2"/>
          <w:numId w:val="7"/>
        </w:numPr>
        <w:spacing w:line="360" w:lineRule="auto"/>
        <w:ind w:left="1701" w:hanging="708"/>
        <w:rPr>
          <w:rFonts w:eastAsia="楷体_GB2312"/>
          <w:b/>
          <w:color w:val="000000"/>
          <w:sz w:val="24"/>
        </w:rPr>
      </w:pPr>
      <w:r>
        <w:rPr>
          <w:rFonts w:eastAsia="楷体_GB2312"/>
          <w:color w:val="000000"/>
          <w:sz w:val="24"/>
        </w:rPr>
        <w:t>以通讯方式行使表决权的“资产支持证券持有人”，视为亲自出席“资产支持证券持有人大会”。“资产支持证券持有人”以通讯方式行使表决权的，其行使表决权的意思表示（下称“意思表示”）应不晚于“资产支持证券持有人大会”开会前【】个“工作日”送达“受托人”。“资产支持证券持有人”先后送达两份以上的意思表示的，以后送达者为准，但后送达的意思表示不符合前述时间要求的除外。“资产支持证券持有人”以通讯方式行使表决权后，打算亲自出席“资产支持证券持有人大会”的，至迟应于“资产支持证券持有人大会”开会前【】个“工作日”，以与行使表决权相同之方式撤销前项行使表决权之意思表示；逾期撤销者，以通讯方式行使之表决权为准。</w:t>
      </w:r>
    </w:p>
    <w:p w14:paraId="4CB449C2">
      <w:pPr>
        <w:numPr>
          <w:ilvl w:val="1"/>
          <w:numId w:val="7"/>
        </w:numPr>
        <w:spacing w:line="360" w:lineRule="auto"/>
        <w:rPr>
          <w:rFonts w:eastAsia="楷体_GB2312"/>
          <w:color w:val="000000"/>
          <w:sz w:val="24"/>
        </w:rPr>
      </w:pPr>
      <w:bookmarkStart w:id="1140" w:name="_Ref153554280"/>
      <w:bookmarkStart w:id="1141" w:name="_Ref203884659"/>
      <w:r>
        <w:rPr>
          <w:rFonts w:eastAsia="楷体_GB2312"/>
          <w:b/>
          <w:color w:val="000000"/>
          <w:sz w:val="24"/>
        </w:rPr>
        <w:t>全体同意事项</w:t>
      </w:r>
      <w:bookmarkEnd w:id="1140"/>
    </w:p>
    <w:p w14:paraId="3B7E6E9E">
      <w:pPr>
        <w:spacing w:line="360" w:lineRule="auto"/>
        <w:ind w:left="992"/>
        <w:rPr>
          <w:rFonts w:eastAsia="楷体_GB2312"/>
          <w:color w:val="000000"/>
          <w:sz w:val="24"/>
        </w:rPr>
      </w:pPr>
      <w:r>
        <w:rPr>
          <w:rFonts w:eastAsia="楷体_GB2312"/>
          <w:color w:val="000000"/>
          <w:sz w:val="24"/>
        </w:rPr>
        <w:t>“资产支持证券持有人大会”就本合同第</w:t>
      </w:r>
      <w:r>
        <w:rPr>
          <w:rFonts w:eastAsia="楷体_GB2312"/>
          <w:color w:val="000000"/>
        </w:rPr>
        <w:fldChar w:fldCharType="begin"/>
      </w:r>
      <w:r>
        <w:rPr>
          <w:rFonts w:eastAsia="楷体_GB2312"/>
          <w:color w:val="000000"/>
        </w:rPr>
        <w:instrText xml:space="preserve"> REF _Ref332308382 \r \h  \* MERGEFORMAT </w:instrText>
      </w:r>
      <w:r>
        <w:rPr>
          <w:rFonts w:eastAsia="楷体_GB2312"/>
          <w:color w:val="000000"/>
        </w:rPr>
        <w:fldChar w:fldCharType="separate"/>
      </w:r>
      <w:r>
        <w:rPr>
          <w:rFonts w:eastAsia="楷体_GB2312"/>
          <w:color w:val="000000"/>
          <w:sz w:val="24"/>
        </w:rPr>
        <w:t>19.2.1</w:t>
      </w:r>
      <w:r>
        <w:rPr>
          <w:rFonts w:eastAsia="楷体_GB2312"/>
          <w:color w:val="000000"/>
        </w:rPr>
        <w:fldChar w:fldCharType="end"/>
      </w:r>
      <w:r>
        <w:rPr>
          <w:rFonts w:eastAsia="楷体_GB2312"/>
          <w:color w:val="000000"/>
          <w:sz w:val="24"/>
        </w:rPr>
        <w:t>款第</w:t>
      </w:r>
      <w:r>
        <w:rPr>
          <w:rFonts w:eastAsia="楷体_GB2312"/>
          <w:color w:val="000000"/>
        </w:rPr>
        <w:fldChar w:fldCharType="begin"/>
      </w:r>
      <w:r>
        <w:rPr>
          <w:rFonts w:eastAsia="楷体_GB2312"/>
          <w:color w:val="000000"/>
        </w:rPr>
        <w:instrText xml:space="preserve"> REF _Ref332310609 \r \h  \* MERGEFORMAT </w:instrText>
      </w:r>
      <w:r>
        <w:rPr>
          <w:rFonts w:eastAsia="楷体_GB2312"/>
          <w:color w:val="000000"/>
        </w:rPr>
        <w:fldChar w:fldCharType="separate"/>
      </w:r>
      <w:r>
        <w:rPr>
          <w:rFonts w:eastAsia="楷体_GB2312"/>
          <w:color w:val="000000"/>
          <w:sz w:val="24"/>
        </w:rPr>
        <w:t>(1)</w:t>
      </w:r>
      <w:r>
        <w:rPr>
          <w:rFonts w:eastAsia="楷体_GB2312"/>
          <w:color w:val="000000"/>
        </w:rPr>
        <w:fldChar w:fldCharType="end"/>
      </w:r>
      <w:r>
        <w:rPr>
          <w:rFonts w:eastAsia="楷体_GB2312"/>
          <w:color w:val="000000"/>
          <w:sz w:val="24"/>
        </w:rPr>
        <w:t>项至第</w:t>
      </w:r>
      <w:r>
        <w:rPr>
          <w:rFonts w:eastAsia="楷体_GB2312"/>
          <w:color w:val="000000"/>
          <w:sz w:val="24"/>
        </w:rPr>
        <w:fldChar w:fldCharType="begin"/>
      </w:r>
      <w:r>
        <w:rPr>
          <w:rFonts w:eastAsia="楷体_GB2312"/>
          <w:color w:val="000000"/>
          <w:sz w:val="24"/>
        </w:rPr>
        <w:instrText xml:space="preserve"> REF _Ref463857676 \r \h  \* MERGEFORMAT </w:instrText>
      </w:r>
      <w:r>
        <w:rPr>
          <w:rFonts w:eastAsia="楷体_GB2312"/>
          <w:color w:val="000000"/>
          <w:sz w:val="24"/>
        </w:rPr>
        <w:fldChar w:fldCharType="separate"/>
      </w:r>
      <w:r>
        <w:rPr>
          <w:rFonts w:eastAsia="楷体_GB2312"/>
          <w:color w:val="000000"/>
          <w:sz w:val="24"/>
        </w:rPr>
        <w:t>(4)</w:t>
      </w:r>
      <w:r>
        <w:rPr>
          <w:rFonts w:eastAsia="楷体_GB2312"/>
          <w:color w:val="000000"/>
          <w:sz w:val="24"/>
        </w:rPr>
        <w:fldChar w:fldCharType="end"/>
      </w:r>
      <w:r>
        <w:rPr>
          <w:rFonts w:eastAsia="楷体_GB2312"/>
          <w:color w:val="000000"/>
          <w:sz w:val="24"/>
        </w:rPr>
        <w:t>项（下称“全体同意事项”）所形成的决议，必须经持有“资产支持证券”“未偿本金余额”100%的全体“资产支持证券持有人”出席，且经出席的“资产支持证券持有人”</w:t>
      </w:r>
      <w:r>
        <w:rPr>
          <w:rFonts w:eastAsia="楷体_GB2312"/>
          <w:color w:val="000000" w:themeColor="text1"/>
          <w:sz w:val="24"/>
          <w14:textFill>
            <w14:solidFill>
              <w14:schemeClr w14:val="tx1"/>
            </w14:solidFill>
          </w14:textFill>
        </w:rPr>
        <w:t>表决权总数的</w:t>
      </w:r>
      <w:r>
        <w:rPr>
          <w:rFonts w:eastAsia="楷体_GB2312"/>
          <w:color w:val="000000" w:themeColor="text1"/>
          <w:kern w:val="0"/>
          <w:sz w:val="24"/>
          <w14:textFill>
            <w14:solidFill>
              <w14:schemeClr w14:val="tx1"/>
            </w14:solidFill>
          </w14:textFill>
        </w:rPr>
        <w:t>100%</w:t>
      </w:r>
      <w:r>
        <w:rPr>
          <w:rFonts w:eastAsia="楷体_GB2312"/>
          <w:color w:val="000000"/>
          <w:sz w:val="24"/>
        </w:rPr>
        <w:t>同意。</w:t>
      </w:r>
    </w:p>
    <w:p w14:paraId="7C6686C0">
      <w:pPr>
        <w:spacing w:line="360" w:lineRule="auto"/>
        <w:ind w:left="850" w:leftChars="405"/>
        <w:rPr>
          <w:rFonts w:eastAsia="楷体_GB2312"/>
          <w:b/>
          <w:color w:val="000000"/>
          <w:sz w:val="24"/>
        </w:rPr>
      </w:pPr>
      <w:r>
        <w:rPr>
          <w:rFonts w:eastAsia="楷体_GB2312"/>
          <w:b/>
          <w:bCs/>
          <w:i/>
          <w:iCs/>
          <w:color w:val="FF0000"/>
          <w:sz w:val="24"/>
        </w:rPr>
        <w:t>【注：全体同意事项的范围可根据具体项目进行调整。】</w:t>
      </w:r>
    </w:p>
    <w:p w14:paraId="044C6E69">
      <w:pPr>
        <w:numPr>
          <w:ilvl w:val="1"/>
          <w:numId w:val="7"/>
        </w:numPr>
        <w:spacing w:line="360" w:lineRule="auto"/>
        <w:rPr>
          <w:rFonts w:eastAsia="楷体_GB2312"/>
          <w:b/>
          <w:color w:val="000000"/>
          <w:sz w:val="24"/>
        </w:rPr>
      </w:pPr>
      <w:r>
        <w:rPr>
          <w:rFonts w:eastAsia="楷体_GB2312"/>
          <w:b/>
          <w:color w:val="000000"/>
          <w:sz w:val="24"/>
        </w:rPr>
        <w:t>特别决议事项</w:t>
      </w:r>
      <w:bookmarkEnd w:id="1141"/>
    </w:p>
    <w:p w14:paraId="033472F6">
      <w:pPr>
        <w:spacing w:line="360" w:lineRule="auto"/>
        <w:ind w:left="992"/>
        <w:rPr>
          <w:rFonts w:eastAsia="楷体_GB2312"/>
          <w:color w:val="000000"/>
          <w:sz w:val="24"/>
        </w:rPr>
      </w:pPr>
      <w:r>
        <w:rPr>
          <w:rFonts w:eastAsia="楷体_GB2312"/>
          <w:color w:val="000000"/>
          <w:sz w:val="24"/>
        </w:rPr>
        <w:t>每一类别的“资产支持证券持有人”组成的“资产支持证券持有人大会”就本合同第</w:t>
      </w:r>
      <w:r>
        <w:rPr>
          <w:rFonts w:eastAsia="楷体_GB2312"/>
          <w:color w:val="000000"/>
        </w:rPr>
        <w:fldChar w:fldCharType="begin"/>
      </w:r>
      <w:r>
        <w:rPr>
          <w:rFonts w:eastAsia="楷体_GB2312"/>
          <w:color w:val="000000"/>
        </w:rPr>
        <w:instrText xml:space="preserve"> REF _Ref332308382 \r \h  \* MERGEFORMAT </w:instrText>
      </w:r>
      <w:r>
        <w:rPr>
          <w:rFonts w:eastAsia="楷体_GB2312"/>
          <w:color w:val="000000"/>
        </w:rPr>
        <w:fldChar w:fldCharType="separate"/>
      </w:r>
      <w:r>
        <w:rPr>
          <w:rFonts w:eastAsia="楷体_GB2312"/>
          <w:color w:val="000000"/>
          <w:sz w:val="24"/>
        </w:rPr>
        <w:t>19.2.1</w:t>
      </w:r>
      <w:r>
        <w:rPr>
          <w:rFonts w:eastAsia="楷体_GB2312"/>
          <w:color w:val="000000"/>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_Ref185867952 \r \h  \* MERGEFORMAT </w:instrText>
      </w:r>
      <w:r>
        <w:rPr>
          <w:rFonts w:eastAsia="楷体_GB2312"/>
          <w:color w:val="000000"/>
          <w:sz w:val="24"/>
        </w:rPr>
        <w:fldChar w:fldCharType="separate"/>
      </w:r>
      <w:r>
        <w:rPr>
          <w:rFonts w:eastAsia="楷体_GB2312"/>
          <w:color w:val="000000"/>
          <w:sz w:val="24"/>
        </w:rPr>
        <w:t>(5)</w:t>
      </w:r>
      <w:r>
        <w:rPr>
          <w:rFonts w:eastAsia="楷体_GB2312"/>
          <w:color w:val="000000"/>
          <w:sz w:val="24"/>
        </w:rPr>
        <w:fldChar w:fldCharType="end"/>
      </w:r>
      <w:r>
        <w:rPr>
          <w:rFonts w:eastAsia="楷体_GB2312"/>
          <w:color w:val="000000"/>
          <w:sz w:val="24"/>
        </w:rPr>
        <w:t>项至第</w:t>
      </w:r>
      <w:r>
        <w:rPr>
          <w:rFonts w:eastAsia="楷体_GB2312"/>
          <w:color w:val="000000"/>
          <w:sz w:val="24"/>
        </w:rPr>
        <w:fldChar w:fldCharType="begin"/>
      </w:r>
      <w:r>
        <w:rPr>
          <w:rFonts w:eastAsia="楷体_GB2312"/>
          <w:color w:val="000000"/>
          <w:sz w:val="24"/>
        </w:rPr>
        <w:instrText xml:space="preserve"> REF _Ref456785358 \r \h  \* MERGEFORMAT </w:instrText>
      </w:r>
      <w:r>
        <w:rPr>
          <w:rFonts w:eastAsia="楷体_GB2312"/>
          <w:color w:val="000000"/>
          <w:sz w:val="24"/>
        </w:rPr>
        <w:fldChar w:fldCharType="separate"/>
      </w:r>
      <w:r>
        <w:rPr>
          <w:rFonts w:eastAsia="楷体_GB2312"/>
          <w:color w:val="000000"/>
          <w:sz w:val="24"/>
        </w:rPr>
        <w:t>(10)</w:t>
      </w:r>
      <w:r>
        <w:rPr>
          <w:rFonts w:eastAsia="楷体_GB2312"/>
          <w:color w:val="000000"/>
          <w:sz w:val="24"/>
        </w:rPr>
        <w:fldChar w:fldCharType="end"/>
      </w:r>
      <w:r>
        <w:rPr>
          <w:rFonts w:eastAsia="楷体_GB2312"/>
          <w:color w:val="000000"/>
          <w:sz w:val="24"/>
        </w:rPr>
        <w:t>项（下称“特别决议事项”）所形成的决议，必须经单独或合计持有本类别“资产支持证券”“未偿本金余额”75%以上的“资产支持证券持有人”出席，且经出席的本类别“资产支持证券持有人”表决权总数的75%以上的同意。</w:t>
      </w:r>
    </w:p>
    <w:p w14:paraId="0E2AFF6B">
      <w:pPr>
        <w:spacing w:line="360" w:lineRule="auto"/>
        <w:ind w:left="991" w:leftChars="472"/>
        <w:rPr>
          <w:rFonts w:eastAsia="楷体_GB2312"/>
          <w:b/>
          <w:bCs/>
          <w:i/>
          <w:iCs/>
          <w:color w:val="000000"/>
          <w:sz w:val="24"/>
        </w:rPr>
      </w:pPr>
      <w:r>
        <w:rPr>
          <w:rFonts w:eastAsia="楷体_GB2312"/>
          <w:b/>
          <w:bCs/>
          <w:i/>
          <w:iCs/>
          <w:color w:val="FF0000"/>
          <w:sz w:val="24"/>
        </w:rPr>
        <w:t>【注：特别决议事项的范围可根据具体项目进行调整。】</w:t>
      </w:r>
    </w:p>
    <w:p w14:paraId="22955A42">
      <w:pPr>
        <w:numPr>
          <w:ilvl w:val="1"/>
          <w:numId w:val="7"/>
        </w:numPr>
        <w:spacing w:line="360" w:lineRule="auto"/>
        <w:rPr>
          <w:rFonts w:eastAsia="楷体_GB2312"/>
          <w:b/>
          <w:color w:val="000000"/>
          <w:sz w:val="24"/>
        </w:rPr>
      </w:pPr>
      <w:bookmarkStart w:id="1142" w:name="_Ref153554289"/>
      <w:r>
        <w:rPr>
          <w:rFonts w:eastAsia="楷体_GB2312"/>
          <w:b/>
          <w:color w:val="000000"/>
          <w:sz w:val="24"/>
        </w:rPr>
        <w:t>普通决议事项</w:t>
      </w:r>
      <w:bookmarkEnd w:id="1142"/>
    </w:p>
    <w:p w14:paraId="56B44ACD">
      <w:pPr>
        <w:spacing w:line="360" w:lineRule="auto"/>
        <w:ind w:left="992"/>
        <w:rPr>
          <w:rFonts w:eastAsia="楷体_GB2312"/>
          <w:b/>
          <w:color w:val="000000"/>
          <w:sz w:val="24"/>
        </w:rPr>
      </w:pPr>
      <w:r>
        <w:rPr>
          <w:rFonts w:eastAsia="楷体_GB2312"/>
          <w:color w:val="000000"/>
          <w:sz w:val="24"/>
        </w:rPr>
        <w:t>除“全体同意事项”和“特别决议事项”以外的事项为“普通决议事项”。每一类别的“资产支持证券持有人”组成的“资产支持证券持有人大会”就“普通决议事项”所形成的决议，必须经单独或合计持有本类别“资产支持证券”“未偿本金余额”50%以上的“资产支持证券持有人”出席，且经出席的本类别“资产支持证券持有人”表决权总数的50%以上的同意。</w:t>
      </w:r>
    </w:p>
    <w:p w14:paraId="5DA6767C">
      <w:pPr>
        <w:numPr>
          <w:ilvl w:val="1"/>
          <w:numId w:val="7"/>
        </w:numPr>
        <w:spacing w:line="360" w:lineRule="auto"/>
        <w:rPr>
          <w:rFonts w:eastAsia="楷体_GB2312"/>
          <w:color w:val="000000"/>
          <w:sz w:val="24"/>
        </w:rPr>
      </w:pPr>
      <w:bookmarkStart w:id="1143" w:name="_Ref216709995"/>
      <w:r>
        <w:rPr>
          <w:rFonts w:eastAsia="楷体_GB2312"/>
          <w:b/>
          <w:color w:val="000000"/>
          <w:sz w:val="24"/>
        </w:rPr>
        <w:t>决议之间的冲突</w:t>
      </w:r>
      <w:bookmarkEnd w:id="1143"/>
    </w:p>
    <w:p w14:paraId="561C4EFC">
      <w:pPr>
        <w:spacing w:line="360" w:lineRule="auto"/>
        <w:ind w:left="992"/>
        <w:rPr>
          <w:rFonts w:eastAsia="楷体_GB2312"/>
          <w:color w:val="000000"/>
          <w:sz w:val="24"/>
        </w:rPr>
      </w:pPr>
      <w:r>
        <w:rPr>
          <w:rFonts w:eastAsia="楷体_GB2312"/>
          <w:color w:val="000000"/>
          <w:sz w:val="24"/>
        </w:rPr>
        <w:t>如果不同类别“资产支持证券持有人大会”就同一事项所做的决议不同，或存在冲突，除非本合同另有约定，应按照如下规则确定各类别“资产支持证券持有人大会”决议的效力：如果</w:t>
      </w:r>
      <w:r>
        <w:rPr>
          <w:rFonts w:eastAsia="楷体_GB2312"/>
          <w:bCs/>
          <w:color w:val="000000"/>
          <w:sz w:val="24"/>
        </w:rPr>
        <w:t>“</w:t>
      </w:r>
      <w:r>
        <w:rPr>
          <w:rFonts w:eastAsia="楷体_GB2312"/>
          <w:color w:val="000000"/>
          <w:sz w:val="24"/>
        </w:rPr>
        <w:t>优先级资产支持证券</w:t>
      </w:r>
      <w:r>
        <w:rPr>
          <w:rFonts w:eastAsia="楷体_GB2312"/>
          <w:bCs/>
          <w:color w:val="000000"/>
          <w:sz w:val="24"/>
        </w:rPr>
        <w:t>”</w:t>
      </w:r>
      <w:r>
        <w:rPr>
          <w:rFonts w:eastAsia="楷体_GB2312"/>
          <w:color w:val="000000"/>
          <w:sz w:val="24"/>
        </w:rPr>
        <w:t>本息尚未清偿完毕，应以“优先级资产支持证券持有人”组成的</w:t>
      </w:r>
      <w:r>
        <w:rPr>
          <w:rFonts w:eastAsia="楷体_GB2312"/>
          <w:bCs/>
          <w:color w:val="000000"/>
          <w:sz w:val="24"/>
        </w:rPr>
        <w:t>“</w:t>
      </w:r>
      <w:r>
        <w:rPr>
          <w:rFonts w:eastAsia="楷体_GB2312"/>
          <w:color w:val="000000"/>
          <w:sz w:val="24"/>
        </w:rPr>
        <w:t>资产支持证券持有人大会</w:t>
      </w:r>
      <w:r>
        <w:rPr>
          <w:rFonts w:eastAsia="楷体_GB2312"/>
          <w:bCs/>
          <w:color w:val="000000"/>
          <w:sz w:val="24"/>
        </w:rPr>
        <w:t>”</w:t>
      </w:r>
      <w:r>
        <w:rPr>
          <w:rFonts w:eastAsia="楷体_GB2312"/>
          <w:color w:val="000000"/>
          <w:sz w:val="24"/>
        </w:rPr>
        <w:t>的决议为准；当全部</w:t>
      </w:r>
      <w:r>
        <w:rPr>
          <w:rFonts w:eastAsia="楷体_GB2312"/>
          <w:bCs/>
          <w:color w:val="000000"/>
          <w:sz w:val="24"/>
        </w:rPr>
        <w:t>“优先级</w:t>
      </w:r>
      <w:r>
        <w:rPr>
          <w:rFonts w:eastAsia="楷体_GB2312"/>
          <w:color w:val="000000"/>
          <w:sz w:val="24"/>
        </w:rPr>
        <w:t>资产支持证券</w:t>
      </w:r>
      <w:r>
        <w:rPr>
          <w:rFonts w:eastAsia="楷体_GB2312"/>
          <w:bCs/>
          <w:color w:val="000000"/>
          <w:sz w:val="24"/>
        </w:rPr>
        <w:t>”本息</w:t>
      </w:r>
      <w:r>
        <w:rPr>
          <w:rFonts w:eastAsia="楷体_GB2312"/>
          <w:color w:val="000000"/>
          <w:sz w:val="24"/>
        </w:rPr>
        <w:t>已清偿完毕，应以“次级资产支持证券持有人”组成的</w:t>
      </w:r>
      <w:r>
        <w:rPr>
          <w:rFonts w:eastAsia="楷体_GB2312"/>
          <w:bCs/>
          <w:color w:val="000000"/>
          <w:sz w:val="24"/>
        </w:rPr>
        <w:t>“</w:t>
      </w:r>
      <w:r>
        <w:rPr>
          <w:rFonts w:eastAsia="楷体_GB2312"/>
          <w:color w:val="000000"/>
          <w:sz w:val="24"/>
        </w:rPr>
        <w:t>资产支持证券持有人大会</w:t>
      </w:r>
      <w:r>
        <w:rPr>
          <w:rFonts w:eastAsia="楷体_GB2312"/>
          <w:bCs/>
          <w:color w:val="000000"/>
          <w:sz w:val="24"/>
        </w:rPr>
        <w:t>”</w:t>
      </w:r>
      <w:r>
        <w:rPr>
          <w:rFonts w:eastAsia="楷体_GB2312"/>
          <w:color w:val="000000"/>
          <w:sz w:val="24"/>
        </w:rPr>
        <w:t>的决议为准。其中，如果相关类别</w:t>
      </w:r>
      <w:r>
        <w:rPr>
          <w:rFonts w:eastAsia="楷体_GB2312"/>
          <w:bCs/>
          <w:color w:val="000000"/>
          <w:sz w:val="24"/>
        </w:rPr>
        <w:t>“</w:t>
      </w:r>
      <w:r>
        <w:rPr>
          <w:rFonts w:eastAsia="楷体_GB2312"/>
          <w:color w:val="000000"/>
          <w:sz w:val="24"/>
        </w:rPr>
        <w:t>资产支持证券持有人大会</w:t>
      </w:r>
      <w:r>
        <w:rPr>
          <w:rFonts w:eastAsia="楷体_GB2312"/>
          <w:bCs/>
          <w:color w:val="000000"/>
          <w:sz w:val="24"/>
        </w:rPr>
        <w:t>”</w:t>
      </w:r>
      <w:r>
        <w:rPr>
          <w:rFonts w:eastAsia="楷体_GB2312"/>
          <w:color w:val="000000"/>
          <w:sz w:val="24"/>
        </w:rPr>
        <w:t>没有就某一事项形成决议，则视为该类别“资产支持证券持有人大会”不同意其他类别的“资产支持证券持有人大会”就该事项形成的决议。</w:t>
      </w:r>
    </w:p>
    <w:p w14:paraId="170EEE85">
      <w:pPr>
        <w:spacing w:line="360" w:lineRule="auto"/>
        <w:ind w:left="992"/>
        <w:rPr>
          <w:rFonts w:eastAsia="楷体_GB2312"/>
          <w:color w:val="FF0000"/>
          <w:sz w:val="24"/>
        </w:rPr>
      </w:pPr>
      <w:r>
        <w:rPr>
          <w:rFonts w:eastAsia="楷体_GB2312"/>
          <w:b/>
          <w:i/>
          <w:iCs/>
          <w:color w:val="FF0000"/>
          <w:sz w:val="24"/>
        </w:rPr>
        <w:t>【注：此处可根据资产支持证券分层情况进一步细分。】</w:t>
      </w:r>
    </w:p>
    <w:p w14:paraId="32E1170B">
      <w:pPr>
        <w:numPr>
          <w:ilvl w:val="1"/>
          <w:numId w:val="7"/>
        </w:numPr>
        <w:spacing w:line="360" w:lineRule="auto"/>
        <w:rPr>
          <w:rFonts w:eastAsia="楷体_GB2312"/>
          <w:b/>
          <w:color w:val="000000"/>
          <w:sz w:val="24"/>
        </w:rPr>
      </w:pPr>
      <w:bookmarkStart w:id="1144" w:name="_Ref335930290"/>
      <w:r>
        <w:rPr>
          <w:rFonts w:eastAsia="楷体_GB2312"/>
          <w:b/>
          <w:color w:val="000000"/>
          <w:sz w:val="24"/>
        </w:rPr>
        <w:t>决议的执行</w:t>
      </w:r>
      <w:bookmarkEnd w:id="1144"/>
    </w:p>
    <w:p w14:paraId="003DD9B7">
      <w:pPr>
        <w:numPr>
          <w:ilvl w:val="2"/>
          <w:numId w:val="7"/>
        </w:numPr>
        <w:spacing w:line="360" w:lineRule="auto"/>
        <w:ind w:left="1843" w:hanging="850"/>
        <w:rPr>
          <w:rFonts w:eastAsia="楷体_GB2312"/>
          <w:b/>
          <w:color w:val="000000"/>
          <w:sz w:val="24"/>
        </w:rPr>
      </w:pPr>
      <w:r>
        <w:rPr>
          <w:rFonts w:eastAsia="楷体_GB2312"/>
          <w:color w:val="000000"/>
          <w:sz w:val="24"/>
        </w:rPr>
        <w:t>“资产支持证券持有人大会”的决议，由“资产支持证券持有人大会”选任的人执行。“资产支持证券持有人大会”可以授权“受托人”执行“资产支持证券持有人大会”的决议。</w:t>
      </w:r>
    </w:p>
    <w:p w14:paraId="5FD5F75A">
      <w:pPr>
        <w:numPr>
          <w:ilvl w:val="2"/>
          <w:numId w:val="7"/>
        </w:numPr>
        <w:spacing w:line="360" w:lineRule="auto"/>
        <w:ind w:left="1843" w:hanging="850"/>
        <w:rPr>
          <w:rFonts w:eastAsia="楷体_GB2312"/>
          <w:b/>
          <w:color w:val="000000"/>
          <w:sz w:val="24"/>
        </w:rPr>
      </w:pPr>
      <w:r>
        <w:rPr>
          <w:rFonts w:eastAsia="楷体_GB2312"/>
          <w:color w:val="000000"/>
          <w:sz w:val="24"/>
        </w:rPr>
        <w:t>“资产支持证券持有人大会”选任的人，可以代表“资产支持证券持有人”，为全体“资产支持证券持有人”利益进行有关“信托”的诉讼或诉讼外的行为。</w:t>
      </w:r>
    </w:p>
    <w:p w14:paraId="2E7F288A">
      <w:pPr>
        <w:numPr>
          <w:ilvl w:val="2"/>
          <w:numId w:val="7"/>
        </w:numPr>
        <w:spacing w:line="360" w:lineRule="auto"/>
        <w:ind w:left="1843" w:hanging="850"/>
        <w:rPr>
          <w:rFonts w:eastAsia="楷体_GB2312"/>
          <w:bCs/>
          <w:color w:val="000000"/>
          <w:sz w:val="24"/>
        </w:rPr>
      </w:pPr>
      <w:r>
        <w:rPr>
          <w:rFonts w:eastAsia="楷体_GB2312"/>
          <w:color w:val="000000"/>
          <w:sz w:val="24"/>
        </w:rPr>
        <w:t>按照本合同第</w:t>
      </w:r>
      <w:r>
        <w:rPr>
          <w:rFonts w:eastAsia="楷体_GB2312"/>
          <w:color w:val="000000"/>
          <w:sz w:val="24"/>
        </w:rPr>
        <w:fldChar w:fldCharType="begin"/>
      </w:r>
      <w:r>
        <w:rPr>
          <w:rFonts w:eastAsia="楷体_GB2312"/>
          <w:color w:val="000000"/>
          <w:sz w:val="24"/>
        </w:rPr>
        <w:instrText xml:space="preserve"> REF _Ref335930290 \r \h  \* MERGEFORMAT </w:instrText>
      </w:r>
      <w:r>
        <w:rPr>
          <w:rFonts w:eastAsia="楷体_GB2312"/>
          <w:color w:val="000000"/>
          <w:sz w:val="24"/>
        </w:rPr>
        <w:fldChar w:fldCharType="separate"/>
      </w:r>
      <w:r>
        <w:rPr>
          <w:rFonts w:eastAsia="楷体_GB2312"/>
          <w:color w:val="000000"/>
          <w:sz w:val="24"/>
        </w:rPr>
        <w:t>19.9</w:t>
      </w:r>
      <w:r>
        <w:rPr>
          <w:rFonts w:eastAsia="楷体_GB2312"/>
          <w:color w:val="000000"/>
          <w:sz w:val="24"/>
        </w:rPr>
        <w:fldChar w:fldCharType="end"/>
      </w:r>
      <w:r>
        <w:rPr>
          <w:rFonts w:eastAsia="楷体_GB2312"/>
          <w:color w:val="000000"/>
          <w:sz w:val="24"/>
        </w:rPr>
        <w:t>款约定由“资产支持证券持有人”选任的人，其权限、报酬、报酬之计算方法及支付时期等事项，应由“资产支持证券持有人大会”于选任该等人时一并予以决议。</w:t>
      </w:r>
    </w:p>
    <w:p w14:paraId="5F430D1F">
      <w:pPr>
        <w:numPr>
          <w:ilvl w:val="1"/>
          <w:numId w:val="7"/>
        </w:numPr>
        <w:spacing w:line="360" w:lineRule="auto"/>
        <w:rPr>
          <w:rFonts w:eastAsia="楷体_GB2312"/>
          <w:b/>
          <w:color w:val="000000"/>
          <w:sz w:val="24"/>
        </w:rPr>
      </w:pPr>
      <w:r>
        <w:rPr>
          <w:rFonts w:eastAsia="楷体_GB2312"/>
          <w:b/>
          <w:color w:val="000000"/>
          <w:sz w:val="24"/>
        </w:rPr>
        <w:t>会议记录</w:t>
      </w:r>
    </w:p>
    <w:p w14:paraId="2A5B5A0B">
      <w:pPr>
        <w:spacing w:line="360" w:lineRule="auto"/>
        <w:ind w:left="992"/>
        <w:rPr>
          <w:rFonts w:eastAsia="楷体_GB2312"/>
          <w:b/>
          <w:color w:val="000000"/>
          <w:sz w:val="24"/>
        </w:rPr>
      </w:pPr>
      <w:r>
        <w:rPr>
          <w:rFonts w:eastAsia="楷体_GB2312"/>
          <w:color w:val="000000"/>
          <w:sz w:val="24"/>
        </w:rPr>
        <w:t>“资产支持证券持有人大会”应当将决议作成会议记录，出席“资产支持证券持有人大会”的代理人、召集人、“受托人”应当在会议记录上签字并加盖“受托人”公章。会议记录、出席“资产支持证券持有人大会”的签名册及代理出席的授权委托书应由“受托人”一并保存，保存期限自“信托终止日”起不得少于十五年。</w:t>
      </w:r>
    </w:p>
    <w:p w14:paraId="0D9A3489">
      <w:pPr>
        <w:numPr>
          <w:ilvl w:val="1"/>
          <w:numId w:val="7"/>
        </w:numPr>
        <w:spacing w:line="360" w:lineRule="auto"/>
        <w:rPr>
          <w:rFonts w:eastAsia="楷体_GB2312"/>
          <w:color w:val="000000"/>
          <w:sz w:val="24"/>
        </w:rPr>
      </w:pPr>
      <w:r>
        <w:rPr>
          <w:rFonts w:eastAsia="楷体_GB2312"/>
          <w:b/>
          <w:color w:val="000000"/>
          <w:sz w:val="24"/>
        </w:rPr>
        <w:t>决议的备案与公告</w:t>
      </w:r>
    </w:p>
    <w:p w14:paraId="6FDE2BC1">
      <w:pPr>
        <w:spacing w:line="360" w:lineRule="auto"/>
        <w:ind w:left="992"/>
        <w:rPr>
          <w:rFonts w:eastAsia="楷体_GB2312"/>
          <w:color w:val="000000"/>
          <w:sz w:val="24"/>
        </w:rPr>
      </w:pPr>
      <w:r>
        <w:rPr>
          <w:rFonts w:eastAsia="楷体_GB2312"/>
          <w:color w:val="000000"/>
          <w:sz w:val="24"/>
        </w:rPr>
        <w:t>对于“资产支持证券持有人大会”形成的决议，“受托人”应在“资产支持证券持有人大会”结束后【】个“工作日”内报“人民银行”备案，并</w:t>
      </w:r>
      <w:r>
        <w:rPr>
          <w:rFonts w:hint="eastAsia" w:eastAsia="楷体_GB2312"/>
          <w:color w:val="000000"/>
          <w:sz w:val="24"/>
        </w:rPr>
        <w:t>通过</w:t>
      </w:r>
      <w:r>
        <w:rPr>
          <w:rFonts w:eastAsia="楷体_GB2312"/>
          <w:color w:val="000000"/>
          <w:sz w:val="24"/>
        </w:rPr>
        <w:t>“交易商协会”综合业务和信息服务平台、中国货币网、中国债券信息网、“北金所”官方网站及“交易商协会”认可的其他方式予以公告。</w:t>
      </w:r>
    </w:p>
    <w:p w14:paraId="39418FF6">
      <w:pPr>
        <w:numPr>
          <w:ilvl w:val="0"/>
          <w:numId w:val="7"/>
        </w:numPr>
        <w:spacing w:line="360" w:lineRule="auto"/>
        <w:outlineLvl w:val="0"/>
        <w:rPr>
          <w:rFonts w:eastAsia="楷体_GB2312"/>
          <w:bCs/>
          <w:color w:val="000000"/>
          <w:sz w:val="24"/>
        </w:rPr>
      </w:pPr>
      <w:bookmarkStart w:id="1145" w:name="_Toc340397897"/>
      <w:bookmarkEnd w:id="1145"/>
      <w:bookmarkStart w:id="1146" w:name="_Toc340397895"/>
      <w:bookmarkEnd w:id="1146"/>
      <w:bookmarkStart w:id="1147" w:name="_Toc340397885"/>
      <w:bookmarkEnd w:id="1147"/>
      <w:bookmarkStart w:id="1148" w:name="_Toc340397866"/>
      <w:bookmarkEnd w:id="1148"/>
      <w:bookmarkStart w:id="1149" w:name="_Toc340397893"/>
      <w:bookmarkEnd w:id="1149"/>
      <w:bookmarkStart w:id="1150" w:name="_Toc340398297"/>
      <w:bookmarkEnd w:id="1150"/>
      <w:bookmarkStart w:id="1151" w:name="_Toc340398269"/>
      <w:bookmarkEnd w:id="1151"/>
      <w:bookmarkStart w:id="1152" w:name="_Toc340397520"/>
      <w:bookmarkEnd w:id="1152"/>
      <w:bookmarkStart w:id="1153" w:name="_Toc340397528"/>
      <w:bookmarkEnd w:id="1153"/>
      <w:bookmarkStart w:id="1154" w:name="_Toc340397898"/>
      <w:bookmarkEnd w:id="1154"/>
      <w:bookmarkStart w:id="1155" w:name="_Toc340397889"/>
      <w:bookmarkEnd w:id="1155"/>
      <w:bookmarkStart w:id="1156" w:name="_Toc340397864"/>
      <w:bookmarkEnd w:id="1156"/>
      <w:bookmarkStart w:id="1157" w:name="_Toc340398300"/>
      <w:bookmarkEnd w:id="1157"/>
      <w:bookmarkStart w:id="1158" w:name="_Toc340397454"/>
      <w:bookmarkEnd w:id="1158"/>
      <w:bookmarkStart w:id="1159" w:name="_Toc340397515"/>
      <w:bookmarkEnd w:id="1159"/>
      <w:bookmarkStart w:id="1160" w:name="_Toc340397918"/>
      <w:bookmarkEnd w:id="1160"/>
      <w:bookmarkStart w:id="1161" w:name="_Toc340397485"/>
      <w:bookmarkEnd w:id="1161"/>
      <w:bookmarkStart w:id="1162" w:name="_Toc340398198"/>
      <w:bookmarkEnd w:id="1162"/>
      <w:bookmarkStart w:id="1163" w:name="_Toc340398294"/>
      <w:bookmarkEnd w:id="1163"/>
      <w:bookmarkStart w:id="1164" w:name="_Toc340398338"/>
      <w:bookmarkEnd w:id="1164"/>
      <w:bookmarkStart w:id="1165" w:name="_Toc340398310"/>
      <w:bookmarkEnd w:id="1165"/>
      <w:bookmarkStart w:id="1166" w:name="_Toc340398329"/>
      <w:bookmarkEnd w:id="1166"/>
      <w:bookmarkStart w:id="1167" w:name="_Toc340398287"/>
      <w:bookmarkEnd w:id="1167"/>
      <w:bookmarkStart w:id="1168" w:name="_Toc340397884"/>
      <w:bookmarkEnd w:id="1168"/>
      <w:bookmarkStart w:id="1169" w:name="_Toc340398255"/>
      <w:bookmarkEnd w:id="1169"/>
      <w:bookmarkStart w:id="1170" w:name="_Toc340397456"/>
      <w:bookmarkEnd w:id="1170"/>
      <w:bookmarkStart w:id="1171" w:name="_Toc340397863"/>
      <w:bookmarkEnd w:id="1171"/>
      <w:bookmarkStart w:id="1172" w:name="_Toc340397934"/>
      <w:bookmarkEnd w:id="1172"/>
      <w:bookmarkStart w:id="1173" w:name="_Toc48080787"/>
      <w:bookmarkEnd w:id="1173"/>
      <w:bookmarkStart w:id="1174" w:name="_Toc340397894"/>
      <w:bookmarkEnd w:id="1174"/>
      <w:bookmarkStart w:id="1175" w:name="_Toc120276586"/>
      <w:bookmarkEnd w:id="1175"/>
      <w:bookmarkStart w:id="1176" w:name="_Toc340397907"/>
      <w:bookmarkEnd w:id="1176"/>
      <w:bookmarkStart w:id="1177" w:name="_Toc340397797"/>
      <w:bookmarkEnd w:id="1177"/>
      <w:bookmarkStart w:id="1178" w:name="_Toc340397491"/>
      <w:bookmarkEnd w:id="1178"/>
      <w:bookmarkStart w:id="1179" w:name="_Toc340397500"/>
      <w:bookmarkEnd w:id="1179"/>
      <w:bookmarkStart w:id="1180" w:name="_Toc340397808"/>
      <w:bookmarkEnd w:id="1180"/>
      <w:bookmarkStart w:id="1181" w:name="_Toc340397527"/>
      <w:bookmarkEnd w:id="1181"/>
      <w:bookmarkStart w:id="1182" w:name="_Toc340397472"/>
      <w:bookmarkEnd w:id="1182"/>
      <w:bookmarkStart w:id="1183" w:name="_Toc340398272"/>
      <w:bookmarkEnd w:id="1183"/>
      <w:bookmarkStart w:id="1184" w:name="_Toc340398281"/>
      <w:bookmarkEnd w:id="1184"/>
      <w:bookmarkStart w:id="1185" w:name="_Toc340397502"/>
      <w:bookmarkEnd w:id="1185"/>
      <w:bookmarkStart w:id="1186" w:name="_Toc340397938"/>
      <w:bookmarkEnd w:id="1186"/>
      <w:bookmarkStart w:id="1187" w:name="_Toc340397465"/>
      <w:bookmarkEnd w:id="1187"/>
      <w:bookmarkStart w:id="1188" w:name="_Toc340397517"/>
      <w:bookmarkEnd w:id="1188"/>
      <w:bookmarkStart w:id="1189" w:name="_Toc340397493"/>
      <w:bookmarkEnd w:id="1189"/>
      <w:bookmarkStart w:id="1190" w:name="_Toc340398252"/>
      <w:bookmarkEnd w:id="1190"/>
      <w:bookmarkStart w:id="1191" w:name="_Toc340398265"/>
      <w:bookmarkEnd w:id="1191"/>
      <w:bookmarkStart w:id="1192" w:name="_Toc340397492"/>
      <w:bookmarkEnd w:id="1192"/>
      <w:bookmarkStart w:id="1193" w:name="_Toc340398282"/>
      <w:bookmarkEnd w:id="1193"/>
      <w:bookmarkStart w:id="1194" w:name="_Toc340397420"/>
      <w:bookmarkEnd w:id="1194"/>
      <w:bookmarkStart w:id="1195" w:name="_Toc340397871"/>
      <w:bookmarkEnd w:id="1195"/>
      <w:bookmarkStart w:id="1196" w:name="_Toc340397471"/>
      <w:bookmarkEnd w:id="1196"/>
      <w:bookmarkStart w:id="1197" w:name="_Toc340398207"/>
      <w:bookmarkEnd w:id="1197"/>
      <w:bookmarkStart w:id="1198" w:name="_Toc120149140"/>
      <w:bookmarkEnd w:id="1198"/>
      <w:bookmarkStart w:id="1199" w:name="_Toc340397940"/>
      <w:bookmarkEnd w:id="1199"/>
      <w:bookmarkStart w:id="1200" w:name="_Toc340398309"/>
      <w:bookmarkEnd w:id="1200"/>
      <w:bookmarkStart w:id="1201" w:name="_Toc340397532"/>
      <w:bookmarkEnd w:id="1201"/>
      <w:bookmarkStart w:id="1202" w:name="_Toc340398286"/>
      <w:bookmarkEnd w:id="1202"/>
      <w:bookmarkStart w:id="1203" w:name="_Toc340397904"/>
      <w:bookmarkEnd w:id="1203"/>
      <w:bookmarkStart w:id="1204" w:name="_Toc340397484"/>
      <w:bookmarkEnd w:id="1204"/>
      <w:bookmarkStart w:id="1205" w:name="_Toc340397903"/>
      <w:bookmarkEnd w:id="1205"/>
      <w:bookmarkStart w:id="1206" w:name="_Toc340397412"/>
      <w:bookmarkEnd w:id="1206"/>
      <w:bookmarkStart w:id="1207" w:name="_Toc340398336"/>
      <w:bookmarkEnd w:id="1207"/>
      <w:bookmarkStart w:id="1208" w:name="_Toc340397899"/>
      <w:bookmarkEnd w:id="1208"/>
      <w:bookmarkStart w:id="1209" w:name="_Toc340398279"/>
      <w:bookmarkEnd w:id="1209"/>
      <w:bookmarkStart w:id="1210" w:name="_Toc340397408"/>
      <w:bookmarkEnd w:id="1210"/>
      <w:bookmarkStart w:id="1211" w:name="_Toc340397931"/>
      <w:bookmarkEnd w:id="1211"/>
      <w:bookmarkStart w:id="1212" w:name="_Toc340398323"/>
      <w:bookmarkEnd w:id="1212"/>
      <w:bookmarkStart w:id="1213" w:name="_Toc340397494"/>
      <w:bookmarkEnd w:id="1213"/>
      <w:bookmarkStart w:id="1214" w:name="_Toc340397498"/>
      <w:bookmarkEnd w:id="1214"/>
      <w:bookmarkStart w:id="1215" w:name="_Toc340397869"/>
      <w:bookmarkEnd w:id="1215"/>
      <w:bookmarkStart w:id="1216" w:name="_Toc340397473"/>
      <w:bookmarkEnd w:id="1216"/>
      <w:bookmarkStart w:id="1217" w:name="_Toc340397878"/>
      <w:bookmarkEnd w:id="1217"/>
      <w:bookmarkStart w:id="1218" w:name="_Toc340397410"/>
      <w:bookmarkEnd w:id="1218"/>
      <w:bookmarkStart w:id="1219" w:name="_Toc340398270"/>
      <w:bookmarkEnd w:id="1219"/>
      <w:bookmarkStart w:id="1220" w:name="_Toc340397511"/>
      <w:bookmarkEnd w:id="1220"/>
      <w:bookmarkStart w:id="1221" w:name="_Toc340397867"/>
      <w:bookmarkEnd w:id="1221"/>
      <w:bookmarkStart w:id="1222" w:name="_Toc219654287"/>
      <w:bookmarkEnd w:id="1222"/>
      <w:bookmarkStart w:id="1223" w:name="_Toc340397908"/>
      <w:bookmarkEnd w:id="1223"/>
      <w:bookmarkStart w:id="1224" w:name="_Toc340397540"/>
      <w:bookmarkEnd w:id="1224"/>
      <w:bookmarkStart w:id="1225" w:name="_Toc340397890"/>
      <w:bookmarkEnd w:id="1225"/>
      <w:bookmarkStart w:id="1226" w:name="_Toc340397504"/>
      <w:bookmarkEnd w:id="1226"/>
      <w:bookmarkStart w:id="1227" w:name="_Toc340398328"/>
      <w:bookmarkEnd w:id="1227"/>
      <w:bookmarkStart w:id="1228" w:name="_Toc340397872"/>
      <w:bookmarkEnd w:id="1228"/>
      <w:bookmarkStart w:id="1229" w:name="_Toc340397811"/>
      <w:bookmarkEnd w:id="1229"/>
      <w:bookmarkStart w:id="1230" w:name="_Toc340397882"/>
      <w:bookmarkEnd w:id="1230"/>
      <w:bookmarkStart w:id="1231" w:name="_Toc340397874"/>
      <w:bookmarkEnd w:id="1231"/>
      <w:bookmarkStart w:id="1232" w:name="_Toc340398217"/>
      <w:bookmarkEnd w:id="1232"/>
      <w:bookmarkStart w:id="1233" w:name="_Toc340397439"/>
      <w:bookmarkEnd w:id="1233"/>
      <w:bookmarkStart w:id="1234" w:name="_Toc340397888"/>
      <w:bookmarkEnd w:id="1234"/>
      <w:bookmarkStart w:id="1235" w:name="_Toc340398285"/>
      <w:bookmarkEnd w:id="1235"/>
      <w:bookmarkStart w:id="1236" w:name="_Toc340397892"/>
      <w:bookmarkEnd w:id="1236"/>
      <w:bookmarkStart w:id="1237" w:name="_Toc340398196"/>
      <w:bookmarkEnd w:id="1237"/>
      <w:bookmarkStart w:id="1238" w:name="_Toc340397881"/>
      <w:bookmarkEnd w:id="1238"/>
      <w:bookmarkStart w:id="1239" w:name="_Toc340397942"/>
      <w:bookmarkEnd w:id="1239"/>
      <w:bookmarkStart w:id="1240" w:name="_Toc340397512"/>
      <w:bookmarkEnd w:id="1240"/>
      <w:bookmarkStart w:id="1241" w:name="_Toc340398278"/>
      <w:bookmarkEnd w:id="1241"/>
      <w:bookmarkStart w:id="1242" w:name="_Toc340398273"/>
      <w:bookmarkEnd w:id="1242"/>
      <w:bookmarkStart w:id="1243" w:name="_Toc340397478"/>
      <w:bookmarkEnd w:id="1243"/>
      <w:bookmarkStart w:id="1244" w:name="_Toc340397824"/>
      <w:bookmarkEnd w:id="1244"/>
      <w:bookmarkStart w:id="1245" w:name="_Toc340397906"/>
      <w:bookmarkEnd w:id="1245"/>
      <w:bookmarkStart w:id="1246" w:name="_Toc340398200"/>
      <w:bookmarkEnd w:id="1246"/>
      <w:bookmarkStart w:id="1247" w:name="_Toc340398212"/>
      <w:bookmarkEnd w:id="1247"/>
      <w:bookmarkStart w:id="1248" w:name="_Toc340398256"/>
      <w:bookmarkEnd w:id="1248"/>
      <w:bookmarkStart w:id="1249" w:name="_Toc340397876"/>
      <w:bookmarkEnd w:id="1249"/>
      <w:bookmarkStart w:id="1250" w:name="_Toc340397496"/>
      <w:bookmarkEnd w:id="1250"/>
      <w:bookmarkStart w:id="1251" w:name="_Toc340397479"/>
      <w:bookmarkEnd w:id="1251"/>
      <w:bookmarkStart w:id="1252" w:name="_Toc340397856"/>
      <w:bookmarkEnd w:id="1252"/>
      <w:bookmarkStart w:id="1253" w:name="_Toc340397910"/>
      <w:bookmarkEnd w:id="1253"/>
      <w:bookmarkStart w:id="1254" w:name="_Toc340397915"/>
      <w:bookmarkEnd w:id="1254"/>
      <w:bookmarkStart w:id="1255" w:name="_Toc340397495"/>
      <w:bookmarkEnd w:id="1255"/>
      <w:bookmarkStart w:id="1256" w:name="_Toc340397514"/>
      <w:bookmarkEnd w:id="1256"/>
      <w:bookmarkStart w:id="1257" w:name="_Toc340398312"/>
      <w:bookmarkEnd w:id="1257"/>
      <w:bookmarkStart w:id="1258" w:name="_Toc340398303"/>
      <w:bookmarkEnd w:id="1258"/>
      <w:bookmarkStart w:id="1259" w:name="_Toc340397800"/>
      <w:bookmarkEnd w:id="1259"/>
      <w:bookmarkStart w:id="1260" w:name="_Toc340398185"/>
      <w:bookmarkEnd w:id="1260"/>
      <w:bookmarkStart w:id="1261" w:name="_Toc340398326"/>
      <w:bookmarkEnd w:id="1261"/>
      <w:bookmarkStart w:id="1262" w:name="_Toc340397503"/>
      <w:bookmarkEnd w:id="1262"/>
      <w:bookmarkStart w:id="1263" w:name="_Toc340397538"/>
      <w:bookmarkEnd w:id="1263"/>
      <w:bookmarkStart w:id="1264" w:name="_Toc48080779"/>
      <w:bookmarkEnd w:id="1264"/>
      <w:bookmarkStart w:id="1265" w:name="_Toc340397508"/>
      <w:bookmarkEnd w:id="1265"/>
      <w:bookmarkStart w:id="1266" w:name="_Toc340397480"/>
      <w:bookmarkEnd w:id="1266"/>
      <w:bookmarkStart w:id="1267" w:name="_Toc340397541"/>
      <w:bookmarkEnd w:id="1267"/>
      <w:bookmarkStart w:id="1268" w:name="_Toc340397427"/>
      <w:bookmarkEnd w:id="1268"/>
      <w:bookmarkStart w:id="1269" w:name="_Toc340397544"/>
      <w:bookmarkEnd w:id="1269"/>
      <w:bookmarkStart w:id="1270" w:name="_Toc340398333"/>
      <w:bookmarkEnd w:id="1270"/>
      <w:bookmarkStart w:id="1271" w:name="_Toc340397417"/>
      <w:bookmarkEnd w:id="1271"/>
      <w:bookmarkStart w:id="1272" w:name="_Toc340397551"/>
      <w:bookmarkEnd w:id="1272"/>
      <w:bookmarkStart w:id="1273" w:name="_Toc340398251"/>
      <w:bookmarkEnd w:id="1273"/>
      <w:bookmarkStart w:id="1274" w:name="_Toc340397469"/>
      <w:bookmarkEnd w:id="1274"/>
      <w:bookmarkStart w:id="1275" w:name="_Toc340398339"/>
      <w:bookmarkEnd w:id="1275"/>
      <w:bookmarkStart w:id="1276" w:name="_Toc340398189"/>
      <w:bookmarkEnd w:id="1276"/>
      <w:bookmarkStart w:id="1277" w:name="_Toc340397932"/>
      <w:bookmarkEnd w:id="1277"/>
      <w:bookmarkStart w:id="1278" w:name="_Toc340397891"/>
      <w:bookmarkEnd w:id="1278"/>
      <w:bookmarkStart w:id="1279" w:name="_Toc340397542"/>
      <w:bookmarkEnd w:id="1279"/>
      <w:bookmarkStart w:id="1280" w:name="_Toc340398332"/>
      <w:bookmarkEnd w:id="1280"/>
      <w:bookmarkStart w:id="1281" w:name="_Toc340398301"/>
      <w:bookmarkEnd w:id="1281"/>
      <w:bookmarkStart w:id="1282" w:name="_Toc340398340"/>
      <w:bookmarkEnd w:id="1282"/>
      <w:bookmarkStart w:id="1283" w:name="_Toc340397920"/>
      <w:bookmarkEnd w:id="1283"/>
      <w:bookmarkStart w:id="1284" w:name="_Toc340398292"/>
      <w:bookmarkEnd w:id="1284"/>
      <w:bookmarkStart w:id="1285" w:name="_Toc340398341"/>
      <w:bookmarkEnd w:id="1285"/>
      <w:bookmarkStart w:id="1286" w:name="_Toc340398193"/>
      <w:bookmarkEnd w:id="1286"/>
      <w:bookmarkStart w:id="1287" w:name="_Toc340397924"/>
      <w:bookmarkEnd w:id="1287"/>
      <w:bookmarkStart w:id="1288" w:name="_Toc48080785"/>
      <w:bookmarkEnd w:id="1288"/>
      <w:bookmarkStart w:id="1289" w:name="_Toc340397855"/>
      <w:bookmarkEnd w:id="1289"/>
      <w:bookmarkStart w:id="1290" w:name="_Toc340397519"/>
      <w:bookmarkEnd w:id="1290"/>
      <w:bookmarkStart w:id="1291" w:name="_Toc340398302"/>
      <w:bookmarkEnd w:id="1291"/>
      <w:bookmarkStart w:id="1292" w:name="_Toc340397939"/>
      <w:bookmarkEnd w:id="1292"/>
      <w:bookmarkStart w:id="1293" w:name="_Toc340397796"/>
      <w:bookmarkEnd w:id="1293"/>
      <w:bookmarkStart w:id="1294" w:name="_Toc340397425"/>
      <w:bookmarkEnd w:id="1294"/>
      <w:bookmarkStart w:id="1295" w:name="_Toc340397411"/>
      <w:bookmarkEnd w:id="1295"/>
      <w:bookmarkStart w:id="1296" w:name="_Toc340397883"/>
      <w:bookmarkEnd w:id="1296"/>
      <w:bookmarkStart w:id="1297" w:name="_Toc219654358"/>
      <w:bookmarkEnd w:id="1297"/>
      <w:bookmarkStart w:id="1298" w:name="_Toc340398318"/>
      <w:bookmarkEnd w:id="1298"/>
      <w:bookmarkStart w:id="1299" w:name="_Toc340397925"/>
      <w:bookmarkEnd w:id="1299"/>
      <w:bookmarkStart w:id="1300" w:name="_Toc340398258"/>
      <w:bookmarkEnd w:id="1300"/>
      <w:bookmarkStart w:id="1301" w:name="_Toc340398275"/>
      <w:bookmarkEnd w:id="1301"/>
      <w:bookmarkStart w:id="1302" w:name="_Toc340397525"/>
      <w:bookmarkEnd w:id="1302"/>
      <w:bookmarkStart w:id="1303" w:name="_Toc340397488"/>
      <w:bookmarkEnd w:id="1303"/>
      <w:bookmarkStart w:id="1304" w:name="_Toc340397543"/>
      <w:bookmarkEnd w:id="1304"/>
      <w:bookmarkStart w:id="1305" w:name="_Toc340397875"/>
      <w:bookmarkEnd w:id="1305"/>
      <w:bookmarkStart w:id="1306" w:name="_Toc340398227"/>
      <w:bookmarkEnd w:id="1306"/>
      <w:bookmarkStart w:id="1307" w:name="_Toc340398306"/>
      <w:bookmarkEnd w:id="1307"/>
      <w:bookmarkStart w:id="1308" w:name="_Toc340398293"/>
      <w:bookmarkEnd w:id="1308"/>
      <w:bookmarkStart w:id="1309" w:name="_Toc340397877"/>
      <w:bookmarkEnd w:id="1309"/>
      <w:bookmarkStart w:id="1310" w:name="_Toc340397455"/>
      <w:bookmarkEnd w:id="1310"/>
      <w:bookmarkStart w:id="1311" w:name="_Toc340397919"/>
      <w:bookmarkEnd w:id="1311"/>
      <w:bookmarkStart w:id="1312" w:name="_Toc340397821"/>
      <w:bookmarkEnd w:id="1312"/>
      <w:bookmarkStart w:id="1313" w:name="_Toc340397849"/>
      <w:bookmarkEnd w:id="1313"/>
      <w:bookmarkStart w:id="1314" w:name="_Toc340398187"/>
      <w:bookmarkEnd w:id="1314"/>
      <w:bookmarkStart w:id="1315" w:name="_Toc120277521"/>
      <w:bookmarkEnd w:id="1315"/>
      <w:bookmarkStart w:id="1316" w:name="_Toc340397879"/>
      <w:bookmarkEnd w:id="1316"/>
      <w:bookmarkStart w:id="1317" w:name="_Toc340397933"/>
      <w:bookmarkEnd w:id="1317"/>
      <w:bookmarkStart w:id="1318" w:name="_Toc340397842"/>
      <w:bookmarkEnd w:id="1318"/>
      <w:bookmarkStart w:id="1319" w:name="_Toc340397545"/>
      <w:bookmarkEnd w:id="1319"/>
      <w:bookmarkStart w:id="1320" w:name="_Toc340397506"/>
      <w:bookmarkEnd w:id="1320"/>
      <w:bookmarkStart w:id="1321" w:name="_Toc340397409"/>
      <w:bookmarkEnd w:id="1321"/>
      <w:bookmarkStart w:id="1322" w:name="_Toc340398331"/>
      <w:bookmarkEnd w:id="1322"/>
      <w:bookmarkStart w:id="1323" w:name="_Toc340398298"/>
      <w:bookmarkEnd w:id="1323"/>
      <w:bookmarkStart w:id="1324" w:name="_Toc340397421"/>
      <w:bookmarkEnd w:id="1324"/>
      <w:bookmarkStart w:id="1325" w:name="_Toc48080782"/>
      <w:bookmarkEnd w:id="1325"/>
      <w:bookmarkStart w:id="1326" w:name="_Toc340398229"/>
      <w:bookmarkEnd w:id="1326"/>
      <w:bookmarkStart w:id="1327" w:name="_Toc340398206"/>
      <w:bookmarkEnd w:id="1327"/>
      <w:bookmarkStart w:id="1328" w:name="_Toc340397415"/>
      <w:bookmarkEnd w:id="1328"/>
      <w:bookmarkStart w:id="1329" w:name="_Toc340397524"/>
      <w:bookmarkEnd w:id="1329"/>
      <w:bookmarkStart w:id="1330" w:name="_Toc340398280"/>
      <w:bookmarkEnd w:id="1330"/>
      <w:bookmarkStart w:id="1331" w:name="_Toc340398192"/>
      <w:bookmarkEnd w:id="1331"/>
      <w:bookmarkStart w:id="1332" w:name="_Toc340397803"/>
      <w:bookmarkEnd w:id="1332"/>
      <w:bookmarkStart w:id="1333" w:name="_Toc340397546"/>
      <w:bookmarkEnd w:id="1333"/>
      <w:bookmarkStart w:id="1334" w:name="_Toc340397501"/>
      <w:bookmarkEnd w:id="1334"/>
      <w:bookmarkStart w:id="1335" w:name="_Toc340398291"/>
      <w:bookmarkEnd w:id="1335"/>
      <w:bookmarkStart w:id="1336" w:name="_Toc340397900"/>
      <w:bookmarkEnd w:id="1336"/>
      <w:bookmarkStart w:id="1337" w:name="_Toc340397833"/>
      <w:bookmarkEnd w:id="1337"/>
      <w:bookmarkStart w:id="1338" w:name="_Toc340397549"/>
      <w:bookmarkEnd w:id="1338"/>
      <w:bookmarkStart w:id="1339" w:name="_Toc340397539"/>
      <w:bookmarkEnd w:id="1339"/>
      <w:bookmarkStart w:id="1340" w:name="_Toc340398188"/>
      <w:bookmarkEnd w:id="1340"/>
      <w:bookmarkStart w:id="1341" w:name="_Toc340398284"/>
      <w:bookmarkEnd w:id="1341"/>
      <w:bookmarkStart w:id="1342" w:name="_Toc48080786"/>
      <w:bookmarkEnd w:id="1342"/>
      <w:bookmarkStart w:id="1343" w:name="_Toc340397531"/>
      <w:bookmarkEnd w:id="1343"/>
      <w:bookmarkStart w:id="1344" w:name="_Toc340397552"/>
      <w:bookmarkEnd w:id="1344"/>
      <w:bookmarkStart w:id="1345" w:name="_Toc340398295"/>
      <w:bookmarkEnd w:id="1345"/>
      <w:bookmarkStart w:id="1346" w:name="_Toc340398316"/>
      <w:bookmarkEnd w:id="1346"/>
      <w:bookmarkStart w:id="1347" w:name="_Toc120277266"/>
      <w:bookmarkEnd w:id="1347"/>
      <w:bookmarkStart w:id="1348" w:name="_Toc340397487"/>
      <w:bookmarkEnd w:id="1348"/>
      <w:bookmarkStart w:id="1349" w:name="_Toc340397419"/>
      <w:bookmarkEnd w:id="1349"/>
      <w:bookmarkStart w:id="1350" w:name="_Toc340398324"/>
      <w:bookmarkEnd w:id="1350"/>
      <w:bookmarkStart w:id="1351" w:name="_Toc120277265"/>
      <w:bookmarkEnd w:id="1351"/>
      <w:bookmarkStart w:id="1352" w:name="_Toc340397523"/>
      <w:bookmarkEnd w:id="1352"/>
      <w:bookmarkStart w:id="1353" w:name="_Toc340397499"/>
      <w:bookmarkEnd w:id="1353"/>
      <w:bookmarkStart w:id="1354" w:name="_Toc340397475"/>
      <w:bookmarkEnd w:id="1354"/>
      <w:bookmarkStart w:id="1355" w:name="_Toc340397926"/>
      <w:bookmarkEnd w:id="1355"/>
      <w:bookmarkStart w:id="1356" w:name="_Toc340398238"/>
      <w:bookmarkEnd w:id="1356"/>
      <w:bookmarkStart w:id="1357" w:name="_Toc340398204"/>
      <w:bookmarkEnd w:id="1357"/>
      <w:bookmarkStart w:id="1358" w:name="_Toc340398214"/>
      <w:bookmarkEnd w:id="1358"/>
      <w:bookmarkStart w:id="1359" w:name="_Toc340397819"/>
      <w:bookmarkEnd w:id="1359"/>
      <w:bookmarkStart w:id="1360" w:name="_Toc340398215"/>
      <w:bookmarkEnd w:id="1360"/>
      <w:bookmarkStart w:id="1361" w:name="_Toc340397509"/>
      <w:bookmarkEnd w:id="1361"/>
      <w:bookmarkStart w:id="1362" w:name="_Toc340397873"/>
      <w:bookmarkEnd w:id="1362"/>
      <w:bookmarkStart w:id="1363" w:name="_Toc340397537"/>
      <w:bookmarkEnd w:id="1363"/>
      <w:bookmarkStart w:id="1364" w:name="_Toc340398288"/>
      <w:bookmarkEnd w:id="1364"/>
      <w:bookmarkStart w:id="1365" w:name="_Toc120277355"/>
      <w:bookmarkEnd w:id="1365"/>
      <w:bookmarkStart w:id="1366" w:name="_Toc340398263"/>
      <w:bookmarkEnd w:id="1366"/>
      <w:bookmarkStart w:id="1367" w:name="_Toc340397862"/>
      <w:bookmarkEnd w:id="1367"/>
      <w:bookmarkStart w:id="1368" w:name="_Toc340397510"/>
      <w:bookmarkEnd w:id="1368"/>
      <w:bookmarkStart w:id="1369" w:name="_Toc340397516"/>
      <w:bookmarkEnd w:id="1369"/>
      <w:bookmarkStart w:id="1370" w:name="_Toc340398313"/>
      <w:bookmarkEnd w:id="1370"/>
      <w:bookmarkStart w:id="1371" w:name="_Toc340397437"/>
      <w:bookmarkEnd w:id="1371"/>
      <w:bookmarkStart w:id="1372" w:name="_Toc340397416"/>
      <w:bookmarkEnd w:id="1372"/>
      <w:bookmarkStart w:id="1373" w:name="_Toc340397434"/>
      <w:bookmarkEnd w:id="1373"/>
      <w:bookmarkStart w:id="1374" w:name="_Toc340398186"/>
      <w:bookmarkEnd w:id="1374"/>
      <w:bookmarkStart w:id="1375" w:name="_Toc120277354"/>
      <w:bookmarkEnd w:id="1375"/>
      <w:bookmarkStart w:id="1376" w:name="_Toc340398271"/>
      <w:bookmarkEnd w:id="1376"/>
      <w:bookmarkStart w:id="1377" w:name="_Toc340397853"/>
      <w:bookmarkEnd w:id="1377"/>
      <w:bookmarkStart w:id="1378" w:name="_Toc340397865"/>
      <w:bookmarkEnd w:id="1378"/>
      <w:bookmarkStart w:id="1379" w:name="_Toc340398261"/>
      <w:bookmarkEnd w:id="1379"/>
      <w:bookmarkStart w:id="1380" w:name="_Toc340397854"/>
      <w:bookmarkEnd w:id="1380"/>
      <w:bookmarkStart w:id="1381" w:name="_Toc340397852"/>
      <w:bookmarkEnd w:id="1381"/>
      <w:bookmarkStart w:id="1382" w:name="_Toc340397802"/>
      <w:bookmarkEnd w:id="1382"/>
      <w:bookmarkStart w:id="1383" w:name="_Toc340397861"/>
      <w:bookmarkEnd w:id="1383"/>
      <w:bookmarkStart w:id="1384" w:name="_Toc120275182"/>
      <w:bookmarkEnd w:id="1384"/>
      <w:bookmarkStart w:id="1385" w:name="_Toc340398190"/>
      <w:bookmarkEnd w:id="1385"/>
      <w:bookmarkStart w:id="1386" w:name="_Toc340397476"/>
      <w:bookmarkEnd w:id="1386"/>
      <w:bookmarkStart w:id="1387" w:name="_Toc340397816"/>
      <w:bookmarkEnd w:id="1387"/>
      <w:bookmarkStart w:id="1388" w:name="_Toc340398283"/>
      <w:bookmarkEnd w:id="1388"/>
      <w:bookmarkStart w:id="1389" w:name="_Toc340397830"/>
      <w:bookmarkEnd w:id="1389"/>
      <w:bookmarkStart w:id="1390" w:name="_Toc340397418"/>
      <w:bookmarkEnd w:id="1390"/>
      <w:bookmarkStart w:id="1391" w:name="_Toc340397835"/>
      <w:bookmarkEnd w:id="1391"/>
      <w:bookmarkStart w:id="1392" w:name="_Toc340397440"/>
      <w:bookmarkEnd w:id="1392"/>
      <w:bookmarkStart w:id="1393" w:name="_Toc120275183"/>
      <w:bookmarkEnd w:id="1393"/>
      <w:bookmarkStart w:id="1394" w:name="_Toc340397825"/>
      <w:bookmarkEnd w:id="1394"/>
      <w:bookmarkStart w:id="1395" w:name="_Toc340397798"/>
      <w:bookmarkEnd w:id="1395"/>
      <w:bookmarkStart w:id="1396" w:name="_Toc340397474"/>
      <w:bookmarkEnd w:id="1396"/>
      <w:bookmarkStart w:id="1397" w:name="_Toc449695423"/>
      <w:bookmarkEnd w:id="1397"/>
      <w:bookmarkStart w:id="1398" w:name="_Toc340397901"/>
      <w:bookmarkEnd w:id="1398"/>
      <w:bookmarkStart w:id="1399" w:name="_Toc340397828"/>
      <w:bookmarkEnd w:id="1399"/>
      <w:bookmarkStart w:id="1400" w:name="_Toc340397450"/>
      <w:bookmarkEnd w:id="1400"/>
      <w:bookmarkStart w:id="1401" w:name="_Toc340398266"/>
      <w:bookmarkEnd w:id="1401"/>
      <w:bookmarkStart w:id="1402" w:name="_Toc340397481"/>
      <w:bookmarkEnd w:id="1402"/>
      <w:bookmarkStart w:id="1403" w:name="_Toc340397477"/>
      <w:bookmarkEnd w:id="1403"/>
      <w:bookmarkStart w:id="1404" w:name="_Toc340397826"/>
      <w:bookmarkEnd w:id="1404"/>
      <w:bookmarkStart w:id="1405" w:name="_Toc340398244"/>
      <w:bookmarkEnd w:id="1405"/>
      <w:bookmarkStart w:id="1406" w:name="_Toc340397483"/>
      <w:bookmarkEnd w:id="1406"/>
      <w:bookmarkStart w:id="1407" w:name="_Toc340397840"/>
      <w:bookmarkEnd w:id="1407"/>
      <w:bookmarkStart w:id="1408" w:name="_Toc340397804"/>
      <w:bookmarkEnd w:id="1408"/>
      <w:bookmarkStart w:id="1409" w:name="_Toc340398259"/>
      <w:bookmarkEnd w:id="1409"/>
      <w:bookmarkStart w:id="1410" w:name="_Toc340397446"/>
      <w:bookmarkEnd w:id="1410"/>
      <w:bookmarkStart w:id="1411" w:name="_Toc340398228"/>
      <w:bookmarkEnd w:id="1411"/>
      <w:bookmarkStart w:id="1412" w:name="_Toc340397452"/>
      <w:bookmarkEnd w:id="1412"/>
      <w:bookmarkStart w:id="1413" w:name="_Toc340398199"/>
      <w:bookmarkEnd w:id="1413"/>
      <w:bookmarkStart w:id="1414" w:name="_Toc340398226"/>
      <w:bookmarkEnd w:id="1414"/>
      <w:bookmarkStart w:id="1415" w:name="_Toc340398216"/>
      <w:bookmarkEnd w:id="1415"/>
      <w:bookmarkStart w:id="1416" w:name="_Toc340397827"/>
      <w:bookmarkEnd w:id="1416"/>
      <w:bookmarkStart w:id="1417" w:name="_Toc340398202"/>
      <w:bookmarkEnd w:id="1417"/>
      <w:bookmarkStart w:id="1418" w:name="_Toc340397424"/>
      <w:bookmarkEnd w:id="1418"/>
      <w:bookmarkStart w:id="1419" w:name="_Toc340397820"/>
      <w:bookmarkEnd w:id="1419"/>
      <w:bookmarkStart w:id="1420" w:name="_Toc340398223"/>
      <w:bookmarkEnd w:id="1420"/>
      <w:bookmarkStart w:id="1421" w:name="_Toc340397809"/>
      <w:bookmarkEnd w:id="1421"/>
      <w:bookmarkStart w:id="1422" w:name="_Toc340397431"/>
      <w:bookmarkEnd w:id="1422"/>
      <w:bookmarkStart w:id="1423" w:name="_Toc340397435"/>
      <w:bookmarkEnd w:id="1423"/>
      <w:bookmarkStart w:id="1424" w:name="_Toc340398213"/>
      <w:bookmarkEnd w:id="1424"/>
      <w:bookmarkStart w:id="1425" w:name="_Toc340398220"/>
      <w:bookmarkEnd w:id="1425"/>
      <w:bookmarkStart w:id="1426" w:name="_Toc340397429"/>
      <w:bookmarkEnd w:id="1426"/>
      <w:bookmarkStart w:id="1427" w:name="_Toc340398201"/>
      <w:bookmarkEnd w:id="1427"/>
      <w:bookmarkStart w:id="1428" w:name="_Toc340397426"/>
      <w:bookmarkEnd w:id="1428"/>
      <w:bookmarkStart w:id="1429" w:name="_Toc340398254"/>
      <w:bookmarkEnd w:id="1429"/>
      <w:bookmarkStart w:id="1430" w:name="_Toc340397806"/>
      <w:bookmarkEnd w:id="1430"/>
      <w:bookmarkStart w:id="1431" w:name="_Toc340397433"/>
      <w:bookmarkEnd w:id="1431"/>
      <w:bookmarkStart w:id="1432" w:name="_Toc340397413"/>
      <w:bookmarkEnd w:id="1432"/>
      <w:bookmarkStart w:id="1433" w:name="_Toc48080778"/>
      <w:bookmarkEnd w:id="1433"/>
      <w:bookmarkStart w:id="1434" w:name="_Toc340397905"/>
      <w:bookmarkEnd w:id="1434"/>
      <w:bookmarkStart w:id="1435" w:name="_Toc340397428"/>
      <w:bookmarkEnd w:id="1435"/>
      <w:bookmarkStart w:id="1436" w:name="_Toc340397801"/>
      <w:bookmarkEnd w:id="1436"/>
      <w:bookmarkStart w:id="1437" w:name="_Toc340397810"/>
      <w:bookmarkEnd w:id="1437"/>
      <w:bookmarkStart w:id="1438" w:name="_Toc340398219"/>
      <w:bookmarkEnd w:id="1438"/>
      <w:bookmarkStart w:id="1439" w:name="_Toc340397422"/>
      <w:bookmarkEnd w:id="1439"/>
      <w:bookmarkStart w:id="1440" w:name="_Toc340397815"/>
      <w:bookmarkEnd w:id="1440"/>
      <w:bookmarkStart w:id="1441" w:name="_Toc340398334"/>
      <w:bookmarkEnd w:id="1441"/>
      <w:bookmarkStart w:id="1442" w:name="_Toc340397813"/>
      <w:bookmarkEnd w:id="1442"/>
      <w:bookmarkStart w:id="1443" w:name="_Toc340397817"/>
      <w:bookmarkEnd w:id="1443"/>
      <w:bookmarkStart w:id="1444" w:name="_Toc340397441"/>
      <w:bookmarkEnd w:id="1444"/>
      <w:bookmarkStart w:id="1445" w:name="_Toc340397442"/>
      <w:bookmarkEnd w:id="1445"/>
      <w:bookmarkStart w:id="1446" w:name="_Toc340397449"/>
      <w:bookmarkEnd w:id="1446"/>
      <w:bookmarkStart w:id="1447" w:name="_Toc340397822"/>
      <w:bookmarkEnd w:id="1447"/>
      <w:bookmarkStart w:id="1448" w:name="_Toc340398221"/>
      <w:bookmarkEnd w:id="1448"/>
      <w:bookmarkStart w:id="1449" w:name="_Toc340398209"/>
      <w:bookmarkEnd w:id="1449"/>
      <w:bookmarkStart w:id="1450" w:name="_Toc340397554"/>
      <w:bookmarkEnd w:id="1450"/>
      <w:bookmarkStart w:id="1451" w:name="_Toc340398203"/>
      <w:bookmarkEnd w:id="1451"/>
      <w:bookmarkStart w:id="1452" w:name="_Toc340397535"/>
      <w:bookmarkEnd w:id="1452"/>
      <w:bookmarkStart w:id="1453" w:name="_Toc340398211"/>
      <w:bookmarkEnd w:id="1453"/>
      <w:bookmarkStart w:id="1454" w:name="_Toc340398232"/>
      <w:bookmarkEnd w:id="1454"/>
      <w:bookmarkStart w:id="1455" w:name="_Toc340397534"/>
      <w:bookmarkEnd w:id="1455"/>
      <w:bookmarkStart w:id="1456" w:name="_Toc340398236"/>
      <w:bookmarkEnd w:id="1456"/>
      <w:bookmarkStart w:id="1457" w:name="_Toc340398222"/>
      <w:bookmarkEnd w:id="1457"/>
      <w:bookmarkStart w:id="1458" w:name="_Toc340397414"/>
      <w:bookmarkEnd w:id="1458"/>
      <w:bookmarkStart w:id="1459" w:name="_Toc340397930"/>
      <w:bookmarkEnd w:id="1459"/>
      <w:bookmarkStart w:id="1460" w:name="_Toc340398218"/>
      <w:bookmarkEnd w:id="1460"/>
      <w:bookmarkStart w:id="1461" w:name="_Toc340397497"/>
      <w:bookmarkEnd w:id="1461"/>
      <w:bookmarkStart w:id="1462" w:name="_Toc340397814"/>
      <w:bookmarkEnd w:id="1462"/>
      <w:bookmarkStart w:id="1463" w:name="_Toc340397923"/>
      <w:bookmarkEnd w:id="1463"/>
      <w:bookmarkStart w:id="1464" w:name="_Toc340397812"/>
      <w:bookmarkEnd w:id="1464"/>
      <w:bookmarkStart w:id="1465" w:name="_Toc340397438"/>
      <w:bookmarkEnd w:id="1465"/>
      <w:bookmarkStart w:id="1466" w:name="_Toc340397935"/>
      <w:bookmarkEnd w:id="1466"/>
      <w:bookmarkStart w:id="1467" w:name="_Toc340397887"/>
      <w:bookmarkEnd w:id="1467"/>
      <w:bookmarkStart w:id="1468" w:name="_Toc340397921"/>
      <w:bookmarkEnd w:id="1468"/>
      <w:bookmarkStart w:id="1469" w:name="_Toc340397902"/>
      <w:bookmarkEnd w:id="1469"/>
      <w:bookmarkStart w:id="1470" w:name="_Toc340398290"/>
      <w:bookmarkEnd w:id="1470"/>
      <w:bookmarkStart w:id="1471" w:name="_Toc340397507"/>
      <w:bookmarkEnd w:id="1471"/>
      <w:bookmarkStart w:id="1472" w:name="_Toc340397937"/>
      <w:bookmarkEnd w:id="1472"/>
      <w:bookmarkStart w:id="1473" w:name="_Toc340398315"/>
      <w:bookmarkEnd w:id="1473"/>
      <w:bookmarkStart w:id="1474" w:name="_Toc340397490"/>
      <w:bookmarkEnd w:id="1474"/>
      <w:bookmarkStart w:id="1475" w:name="_Toc340398308"/>
      <w:bookmarkEnd w:id="1475"/>
      <w:bookmarkStart w:id="1476" w:name="_Toc340398208"/>
      <w:bookmarkEnd w:id="1476"/>
      <w:bookmarkStart w:id="1477" w:name="_Toc340398224"/>
      <w:bookmarkEnd w:id="1477"/>
      <w:bookmarkStart w:id="1478" w:name="_Toc340398210"/>
      <w:bookmarkEnd w:id="1478"/>
      <w:bookmarkStart w:id="1479" w:name="_Toc340397914"/>
      <w:bookmarkEnd w:id="1479"/>
      <w:bookmarkStart w:id="1480" w:name="_Toc340398321"/>
      <w:bookmarkEnd w:id="1480"/>
      <w:bookmarkStart w:id="1481" w:name="_Toc340397818"/>
      <w:bookmarkEnd w:id="1481"/>
      <w:bookmarkStart w:id="1482" w:name="_Toc48080784"/>
      <w:bookmarkEnd w:id="1482"/>
      <w:bookmarkStart w:id="1483" w:name="_Toc340398314"/>
      <w:bookmarkEnd w:id="1483"/>
      <w:bookmarkStart w:id="1484" w:name="_Toc340397886"/>
      <w:bookmarkEnd w:id="1484"/>
      <w:bookmarkStart w:id="1485" w:name="_Toc340398262"/>
      <w:bookmarkEnd w:id="1485"/>
      <w:bookmarkStart w:id="1486" w:name="_Toc340398230"/>
      <w:bookmarkEnd w:id="1486"/>
      <w:bookmarkStart w:id="1487" w:name="_Toc340398322"/>
      <w:bookmarkEnd w:id="1487"/>
      <w:bookmarkStart w:id="1488" w:name="_Toc340398225"/>
      <w:bookmarkEnd w:id="1488"/>
      <w:bookmarkStart w:id="1489" w:name="_Toc340397929"/>
      <w:bookmarkEnd w:id="1489"/>
      <w:bookmarkStart w:id="1490" w:name="_Toc340398237"/>
      <w:bookmarkEnd w:id="1490"/>
      <w:bookmarkStart w:id="1491" w:name="_Toc340398195"/>
      <w:bookmarkEnd w:id="1491"/>
      <w:bookmarkStart w:id="1492" w:name="_Toc340398317"/>
      <w:bookmarkEnd w:id="1492"/>
      <w:bookmarkStart w:id="1493" w:name="_Toc340397927"/>
      <w:bookmarkEnd w:id="1493"/>
      <w:bookmarkStart w:id="1494" w:name="_Toc340397445"/>
      <w:bookmarkEnd w:id="1494"/>
      <w:bookmarkStart w:id="1495" w:name="_Toc340397489"/>
      <w:bookmarkEnd w:id="1495"/>
      <w:bookmarkStart w:id="1496" w:name="_Toc340397443"/>
      <w:bookmarkEnd w:id="1496"/>
      <w:bookmarkStart w:id="1497" w:name="_Toc48080781"/>
      <w:bookmarkEnd w:id="1497"/>
      <w:bookmarkStart w:id="1498" w:name="_Toc340398257"/>
      <w:bookmarkEnd w:id="1498"/>
      <w:bookmarkStart w:id="1499" w:name="_Toc340397462"/>
      <w:bookmarkEnd w:id="1499"/>
      <w:bookmarkStart w:id="1500" w:name="_Toc340398249"/>
      <w:bookmarkEnd w:id="1500"/>
      <w:bookmarkStart w:id="1501" w:name="_Toc340398337"/>
      <w:bookmarkEnd w:id="1501"/>
      <w:bookmarkStart w:id="1502" w:name="_Toc340397460"/>
      <w:bookmarkEnd w:id="1502"/>
      <w:bookmarkStart w:id="1503" w:name="_Toc340397860"/>
      <w:bookmarkEnd w:id="1503"/>
      <w:bookmarkStart w:id="1504" w:name="_Toc340397912"/>
      <w:bookmarkEnd w:id="1504"/>
      <w:bookmarkStart w:id="1505" w:name="_Toc340398327"/>
      <w:bookmarkEnd w:id="1505"/>
      <w:bookmarkStart w:id="1506" w:name="_Toc340397467"/>
      <w:bookmarkEnd w:id="1506"/>
      <w:bookmarkStart w:id="1507" w:name="_Toc340397482"/>
      <w:bookmarkEnd w:id="1507"/>
      <w:bookmarkStart w:id="1508" w:name="_Toc340397857"/>
      <w:bookmarkEnd w:id="1508"/>
      <w:bookmarkStart w:id="1509" w:name="_Toc340397468"/>
      <w:bookmarkEnd w:id="1509"/>
      <w:bookmarkStart w:id="1510" w:name="_Toc449566362"/>
      <w:bookmarkEnd w:id="1510"/>
      <w:bookmarkStart w:id="1511" w:name="_Toc340397909"/>
      <w:bookmarkEnd w:id="1511"/>
      <w:bookmarkStart w:id="1512" w:name="_Toc340397896"/>
      <w:bookmarkEnd w:id="1512"/>
      <w:bookmarkStart w:id="1513" w:name="_Toc340398246"/>
      <w:bookmarkEnd w:id="1513"/>
      <w:bookmarkStart w:id="1514" w:name="_Toc340397911"/>
      <w:bookmarkEnd w:id="1514"/>
      <w:bookmarkStart w:id="1515" w:name="_Toc340398342"/>
      <w:bookmarkEnd w:id="1515"/>
      <w:bookmarkStart w:id="1516" w:name="_Toc340397943"/>
      <w:bookmarkEnd w:id="1516"/>
      <w:bookmarkStart w:id="1517" w:name="_Toc340398245"/>
      <w:bookmarkEnd w:id="1517"/>
      <w:bookmarkStart w:id="1518" w:name="_Toc340398191"/>
      <w:bookmarkEnd w:id="1518"/>
      <w:bookmarkStart w:id="1519" w:name="_Toc340397432"/>
      <w:bookmarkEnd w:id="1519"/>
      <w:bookmarkStart w:id="1520" w:name="_Toc340398277"/>
      <w:bookmarkEnd w:id="1520"/>
      <w:bookmarkStart w:id="1521" w:name="_Toc340397521"/>
      <w:bookmarkEnd w:id="1521"/>
      <w:bookmarkStart w:id="1522" w:name="_Toc340397444"/>
      <w:bookmarkEnd w:id="1522"/>
      <w:bookmarkStart w:id="1523" w:name="_Toc340398240"/>
      <w:bookmarkEnd w:id="1523"/>
      <w:bookmarkStart w:id="1524" w:name="_Toc340398304"/>
      <w:bookmarkEnd w:id="1524"/>
      <w:bookmarkStart w:id="1525" w:name="_Toc340397505"/>
      <w:bookmarkEnd w:id="1525"/>
      <w:bookmarkStart w:id="1526" w:name="_Toc340398305"/>
      <w:bookmarkEnd w:id="1526"/>
      <w:bookmarkStart w:id="1527" w:name="_Toc340398330"/>
      <w:bookmarkEnd w:id="1527"/>
      <w:bookmarkStart w:id="1528" w:name="_Toc340397839"/>
      <w:bookmarkEnd w:id="1528"/>
      <w:bookmarkStart w:id="1529" w:name="_Toc340397936"/>
      <w:bookmarkEnd w:id="1529"/>
      <w:bookmarkStart w:id="1530" w:name="_Toc340397859"/>
      <w:bookmarkEnd w:id="1530"/>
      <w:bookmarkStart w:id="1531" w:name="_Toc340398205"/>
      <w:bookmarkEnd w:id="1531"/>
      <w:bookmarkStart w:id="1532" w:name="_Toc340397941"/>
      <w:bookmarkEnd w:id="1532"/>
      <w:bookmarkStart w:id="1533" w:name="_Toc340397831"/>
      <w:bookmarkEnd w:id="1533"/>
      <w:bookmarkStart w:id="1534" w:name="_Toc340397553"/>
      <w:bookmarkEnd w:id="1534"/>
      <w:bookmarkStart w:id="1535" w:name="_Toc340397518"/>
      <w:bookmarkEnd w:id="1535"/>
      <w:bookmarkStart w:id="1536" w:name="_Toc340397533"/>
      <w:bookmarkEnd w:id="1536"/>
      <w:bookmarkStart w:id="1537" w:name="_Toc340397555"/>
      <w:bookmarkEnd w:id="1537"/>
      <w:bookmarkStart w:id="1538" w:name="_Toc340398264"/>
      <w:bookmarkEnd w:id="1538"/>
      <w:bookmarkStart w:id="1539" w:name="_Toc340397529"/>
      <w:bookmarkEnd w:id="1539"/>
      <w:bookmarkStart w:id="1540" w:name="_Toc340397922"/>
      <w:bookmarkEnd w:id="1540"/>
      <w:bookmarkStart w:id="1541" w:name="_Toc340398311"/>
      <w:bookmarkEnd w:id="1541"/>
      <w:bookmarkStart w:id="1542" w:name="_Toc340397461"/>
      <w:bookmarkEnd w:id="1542"/>
      <w:bookmarkStart w:id="1543" w:name="_Toc48080783"/>
      <w:bookmarkEnd w:id="1543"/>
      <w:bookmarkStart w:id="1544" w:name="_Toc340398267"/>
      <w:bookmarkEnd w:id="1544"/>
      <w:bookmarkStart w:id="1545" w:name="_Toc340397486"/>
      <w:bookmarkEnd w:id="1545"/>
      <w:bookmarkStart w:id="1546" w:name="_Toc340397447"/>
      <w:bookmarkEnd w:id="1546"/>
      <w:bookmarkStart w:id="1547" w:name="_Toc340397847"/>
      <w:bookmarkEnd w:id="1547"/>
      <w:bookmarkStart w:id="1548" w:name="_Toc340397916"/>
      <w:bookmarkEnd w:id="1548"/>
      <w:bookmarkStart w:id="1549" w:name="_Toc340398274"/>
      <w:bookmarkEnd w:id="1549"/>
      <w:bookmarkStart w:id="1550" w:name="_Toc340398335"/>
      <w:bookmarkEnd w:id="1550"/>
      <w:bookmarkStart w:id="1551" w:name="_Toc340397846"/>
      <w:bookmarkEnd w:id="1551"/>
      <w:bookmarkStart w:id="1552" w:name="_Toc340398307"/>
      <w:bookmarkEnd w:id="1552"/>
      <w:bookmarkStart w:id="1553" w:name="_Toc340397522"/>
      <w:bookmarkEnd w:id="1553"/>
      <w:bookmarkStart w:id="1554" w:name="_Toc340397463"/>
      <w:bookmarkEnd w:id="1554"/>
      <w:bookmarkStart w:id="1555" w:name="_Toc340398194"/>
      <w:bookmarkEnd w:id="1555"/>
      <w:bookmarkStart w:id="1556" w:name="_Toc340398242"/>
      <w:bookmarkEnd w:id="1556"/>
      <w:bookmarkStart w:id="1557" w:name="_Toc340397848"/>
      <w:bookmarkEnd w:id="1557"/>
      <w:bookmarkStart w:id="1558" w:name="_Toc120276585"/>
      <w:bookmarkEnd w:id="1558"/>
      <w:bookmarkStart w:id="1559" w:name="_Toc340397807"/>
      <w:bookmarkEnd w:id="1559"/>
      <w:bookmarkStart w:id="1560" w:name="_Toc340397470"/>
      <w:bookmarkEnd w:id="1560"/>
      <w:bookmarkStart w:id="1561" w:name="_Toc340398248"/>
      <w:bookmarkEnd w:id="1561"/>
      <w:bookmarkStart w:id="1562" w:name="_Toc340397547"/>
      <w:bookmarkEnd w:id="1562"/>
      <w:bookmarkStart w:id="1563" w:name="_Toc340398320"/>
      <w:bookmarkEnd w:id="1563"/>
      <w:bookmarkStart w:id="1564" w:name="_Toc340398268"/>
      <w:bookmarkEnd w:id="1564"/>
      <w:bookmarkStart w:id="1565" w:name="_Toc340397448"/>
      <w:bookmarkEnd w:id="1565"/>
      <w:bookmarkStart w:id="1566" w:name="_Toc340397550"/>
      <w:bookmarkEnd w:id="1566"/>
      <w:bookmarkStart w:id="1567" w:name="_Toc340398325"/>
      <w:bookmarkEnd w:id="1567"/>
      <w:bookmarkStart w:id="1568" w:name="_Toc340397536"/>
      <w:bookmarkEnd w:id="1568"/>
      <w:bookmarkStart w:id="1569" w:name="_Toc340397917"/>
      <w:bookmarkEnd w:id="1569"/>
      <w:bookmarkStart w:id="1570" w:name="_Toc340398276"/>
      <w:bookmarkEnd w:id="1570"/>
      <w:bookmarkStart w:id="1571" w:name="_Toc340397838"/>
      <w:bookmarkEnd w:id="1571"/>
      <w:bookmarkStart w:id="1572" w:name="_Toc340397836"/>
      <w:bookmarkEnd w:id="1572"/>
      <w:bookmarkStart w:id="1573" w:name="_Toc340397841"/>
      <w:bookmarkEnd w:id="1573"/>
      <w:bookmarkStart w:id="1574" w:name="_Toc340397823"/>
      <w:bookmarkEnd w:id="1574"/>
      <w:bookmarkStart w:id="1575" w:name="_Toc340397530"/>
      <w:bookmarkEnd w:id="1575"/>
      <w:bookmarkStart w:id="1576" w:name="_Toc340398299"/>
      <w:bookmarkEnd w:id="1576"/>
      <w:bookmarkStart w:id="1577" w:name="_Toc340397526"/>
      <w:bookmarkEnd w:id="1577"/>
      <w:bookmarkStart w:id="1578" w:name="_Toc340397858"/>
      <w:bookmarkEnd w:id="1578"/>
      <w:bookmarkStart w:id="1579" w:name="_Toc340397430"/>
      <w:bookmarkEnd w:id="1579"/>
      <w:bookmarkStart w:id="1580" w:name="_Toc340398296"/>
      <w:bookmarkEnd w:id="1580"/>
      <w:bookmarkStart w:id="1581" w:name="_Toc340398319"/>
      <w:bookmarkEnd w:id="1581"/>
      <w:bookmarkStart w:id="1582" w:name="_Toc340398197"/>
      <w:bookmarkEnd w:id="1582"/>
      <w:bookmarkStart w:id="1583" w:name="_Toc340397870"/>
      <w:bookmarkEnd w:id="1583"/>
      <w:bookmarkStart w:id="1584" w:name="_Toc340397451"/>
      <w:bookmarkEnd w:id="1584"/>
      <w:bookmarkStart w:id="1585" w:name="_Toc449706482"/>
      <w:bookmarkEnd w:id="1585"/>
      <w:bookmarkStart w:id="1586" w:name="_Toc340398247"/>
      <w:bookmarkEnd w:id="1586"/>
      <w:bookmarkStart w:id="1587" w:name="_Toc340397466"/>
      <w:bookmarkEnd w:id="1587"/>
      <w:bookmarkStart w:id="1588" w:name="_Toc340397805"/>
      <w:bookmarkEnd w:id="1588"/>
      <w:bookmarkStart w:id="1589" w:name="_Toc340398235"/>
      <w:bookmarkEnd w:id="1589"/>
      <w:bookmarkStart w:id="1590" w:name="_Toc340397837"/>
      <w:bookmarkEnd w:id="1590"/>
      <w:bookmarkStart w:id="1591" w:name="_Toc340397928"/>
      <w:bookmarkEnd w:id="1591"/>
      <w:bookmarkStart w:id="1592" w:name="_Toc340397548"/>
      <w:bookmarkEnd w:id="1592"/>
      <w:bookmarkStart w:id="1593" w:name="_Toc340397464"/>
      <w:bookmarkEnd w:id="1593"/>
      <w:bookmarkStart w:id="1594" w:name="_Toc340398231"/>
      <w:bookmarkEnd w:id="1594"/>
      <w:bookmarkStart w:id="1595" w:name="_Toc340397458"/>
      <w:bookmarkEnd w:id="1595"/>
      <w:bookmarkStart w:id="1596" w:name="_Toc340398239"/>
      <w:bookmarkEnd w:id="1596"/>
      <w:bookmarkStart w:id="1597" w:name="_Toc340397832"/>
      <w:bookmarkEnd w:id="1597"/>
      <w:bookmarkStart w:id="1598" w:name="_Toc340398243"/>
      <w:bookmarkEnd w:id="1598"/>
      <w:bookmarkStart w:id="1599" w:name="_Toc340397845"/>
      <w:bookmarkEnd w:id="1599"/>
      <w:bookmarkStart w:id="1600" w:name="_Toc340397880"/>
      <w:bookmarkEnd w:id="1600"/>
      <w:bookmarkStart w:id="1601" w:name="_Toc340397799"/>
      <w:bookmarkEnd w:id="1601"/>
      <w:bookmarkStart w:id="1602" w:name="_Toc340397453"/>
      <w:bookmarkEnd w:id="1602"/>
      <w:bookmarkStart w:id="1603" w:name="_Toc340397913"/>
      <w:bookmarkEnd w:id="1603"/>
      <w:bookmarkStart w:id="1604" w:name="_Toc48080780"/>
      <w:bookmarkEnd w:id="1604"/>
      <w:bookmarkStart w:id="1605" w:name="_Toc340397843"/>
      <w:bookmarkEnd w:id="1605"/>
      <w:bookmarkStart w:id="1606" w:name="_Toc340397868"/>
      <w:bookmarkEnd w:id="1606"/>
      <w:bookmarkStart w:id="1607" w:name="_Toc340397423"/>
      <w:bookmarkEnd w:id="1607"/>
      <w:bookmarkStart w:id="1608" w:name="_Toc340398234"/>
      <w:bookmarkEnd w:id="1608"/>
      <w:bookmarkStart w:id="1609" w:name="_Toc340397844"/>
      <w:bookmarkEnd w:id="1609"/>
      <w:bookmarkStart w:id="1610" w:name="_Toc340397851"/>
      <w:bookmarkEnd w:id="1610"/>
      <w:bookmarkStart w:id="1611" w:name="_Toc120277520"/>
      <w:bookmarkEnd w:id="1611"/>
      <w:bookmarkStart w:id="1612" w:name="_Toc340397829"/>
      <w:bookmarkEnd w:id="1612"/>
      <w:bookmarkStart w:id="1613" w:name="_Toc340397436"/>
      <w:bookmarkEnd w:id="1613"/>
      <w:bookmarkStart w:id="1614" w:name="_Toc340397834"/>
      <w:bookmarkEnd w:id="1614"/>
      <w:bookmarkStart w:id="1615" w:name="_Toc340397459"/>
      <w:bookmarkEnd w:id="1615"/>
      <w:bookmarkStart w:id="1616" w:name="_Toc340398260"/>
      <w:bookmarkEnd w:id="1616"/>
      <w:bookmarkStart w:id="1617" w:name="_Toc340397513"/>
      <w:bookmarkEnd w:id="1617"/>
      <w:bookmarkStart w:id="1618" w:name="_Toc340398233"/>
      <w:bookmarkEnd w:id="1618"/>
      <w:bookmarkStart w:id="1619" w:name="_Toc340398241"/>
      <w:bookmarkEnd w:id="1619"/>
      <w:bookmarkStart w:id="1620" w:name="_Toc340397457"/>
      <w:bookmarkEnd w:id="1620"/>
      <w:bookmarkStart w:id="1621" w:name="_Toc340397850"/>
      <w:bookmarkEnd w:id="1621"/>
      <w:bookmarkStart w:id="1622" w:name="_Toc340398250"/>
      <w:bookmarkEnd w:id="1622"/>
      <w:bookmarkStart w:id="1623" w:name="_Toc340398289"/>
      <w:bookmarkEnd w:id="1623"/>
      <w:bookmarkStart w:id="1624" w:name="_Toc340398253"/>
      <w:bookmarkEnd w:id="1624"/>
      <w:bookmarkStart w:id="1625" w:name="_Toc219710687"/>
      <w:bookmarkStart w:id="1626" w:name="_Toc225538168"/>
      <w:bookmarkStart w:id="1627" w:name="_Toc92612947"/>
      <w:r>
        <w:rPr>
          <w:rFonts w:eastAsia="楷体_GB2312"/>
          <w:b/>
          <w:color w:val="000000"/>
          <w:sz w:val="24"/>
        </w:rPr>
        <w:t>赔偿和免责</w:t>
      </w:r>
      <w:bookmarkEnd w:id="1625"/>
      <w:bookmarkEnd w:id="1626"/>
    </w:p>
    <w:p w14:paraId="233CAC28">
      <w:pPr>
        <w:numPr>
          <w:ilvl w:val="1"/>
          <w:numId w:val="7"/>
        </w:numPr>
        <w:spacing w:line="360" w:lineRule="auto"/>
        <w:rPr>
          <w:rFonts w:eastAsia="楷体_GB2312"/>
          <w:bCs/>
          <w:color w:val="000000"/>
          <w:sz w:val="24"/>
        </w:rPr>
      </w:pPr>
      <w:r>
        <w:rPr>
          <w:rFonts w:eastAsia="楷体_GB2312"/>
          <w:b/>
          <w:color w:val="000000"/>
          <w:sz w:val="24"/>
        </w:rPr>
        <w:t>违约责任</w:t>
      </w:r>
    </w:p>
    <w:p w14:paraId="69A54190">
      <w:pPr>
        <w:spacing w:line="360" w:lineRule="auto"/>
        <w:ind w:left="992"/>
        <w:rPr>
          <w:rFonts w:eastAsia="楷体_GB2312"/>
          <w:b/>
          <w:color w:val="000000"/>
          <w:sz w:val="24"/>
        </w:rPr>
      </w:pPr>
      <w:r>
        <w:rPr>
          <w:rFonts w:eastAsia="楷体_GB2312"/>
          <w:color w:val="000000"/>
          <w:sz w:val="24"/>
        </w:rPr>
        <w:t>如“委托人”、“受托人”或“受益人”未履行其在本合同项下的义务，或一方在本合同项下的声明、陈述、保证严重失实或不准确，则视为该方违约。除非本合同另有约定，违约方应向守约方承担继续履行、采取补救措施、赔偿守约方因此遭受的直接实际损失的违约责任。</w:t>
      </w:r>
    </w:p>
    <w:p w14:paraId="03D112A6">
      <w:pPr>
        <w:numPr>
          <w:ilvl w:val="1"/>
          <w:numId w:val="7"/>
        </w:numPr>
        <w:spacing w:line="360" w:lineRule="auto"/>
        <w:rPr>
          <w:rFonts w:eastAsia="楷体_GB2312"/>
          <w:b/>
          <w:color w:val="000000"/>
          <w:sz w:val="24"/>
        </w:rPr>
      </w:pPr>
      <w:r>
        <w:rPr>
          <w:rFonts w:eastAsia="楷体_GB2312"/>
          <w:b/>
          <w:color w:val="000000"/>
          <w:sz w:val="24"/>
        </w:rPr>
        <w:t>受托人的赔偿责任</w:t>
      </w:r>
    </w:p>
    <w:p w14:paraId="06C51BE9">
      <w:pPr>
        <w:numPr>
          <w:ilvl w:val="2"/>
          <w:numId w:val="7"/>
        </w:numPr>
        <w:spacing w:line="360" w:lineRule="auto"/>
        <w:ind w:left="1701" w:hanging="708"/>
        <w:rPr>
          <w:rFonts w:eastAsia="楷体_GB2312"/>
          <w:color w:val="000000"/>
          <w:sz w:val="24"/>
        </w:rPr>
      </w:pPr>
      <w:r>
        <w:rPr>
          <w:rFonts w:eastAsia="楷体_GB2312"/>
          <w:color w:val="000000"/>
          <w:sz w:val="24"/>
        </w:rPr>
        <w:t>“受托人”违反信托目的管理、处分“信托财产”或者管理、处分“信托财产”有重大过失致使“信托财产”遭受损失的，应当对“信托财产”予以赔偿。</w:t>
      </w:r>
    </w:p>
    <w:p w14:paraId="52CC768F">
      <w:pPr>
        <w:numPr>
          <w:ilvl w:val="2"/>
          <w:numId w:val="7"/>
        </w:numPr>
        <w:spacing w:line="360" w:lineRule="auto"/>
        <w:ind w:left="1701" w:hanging="708"/>
        <w:rPr>
          <w:rFonts w:eastAsia="楷体_GB2312"/>
          <w:color w:val="000000"/>
          <w:sz w:val="24"/>
        </w:rPr>
      </w:pPr>
      <w:r>
        <w:rPr>
          <w:rFonts w:eastAsia="楷体_GB2312"/>
          <w:color w:val="000000"/>
          <w:sz w:val="24"/>
        </w:rPr>
        <w:t>“受托人”采取本合同约定之外的方式对“信托财产”的运用、处分所产生的收益，属于“信托财产”的一部分；由此给“信托财产”造成损失的，“受托人”应以其固有财产承担赔偿责任，但该等方式经“资产支持证券持有人大会”同意的除外。</w:t>
      </w:r>
    </w:p>
    <w:p w14:paraId="08ED3FA4">
      <w:pPr>
        <w:numPr>
          <w:ilvl w:val="1"/>
          <w:numId w:val="7"/>
        </w:numPr>
        <w:spacing w:line="360" w:lineRule="auto"/>
        <w:rPr>
          <w:rFonts w:eastAsia="楷体_GB2312"/>
          <w:b/>
          <w:color w:val="000000"/>
          <w:sz w:val="24"/>
        </w:rPr>
      </w:pPr>
      <w:r>
        <w:rPr>
          <w:rFonts w:eastAsia="楷体_GB2312"/>
          <w:b/>
          <w:color w:val="000000"/>
          <w:sz w:val="24"/>
        </w:rPr>
        <w:t>受托人的免责</w:t>
      </w:r>
    </w:p>
    <w:p w14:paraId="10AF3B71">
      <w:pPr>
        <w:numPr>
          <w:ilvl w:val="2"/>
          <w:numId w:val="7"/>
        </w:numPr>
        <w:spacing w:line="360" w:lineRule="auto"/>
        <w:ind w:left="1701" w:hanging="708"/>
        <w:rPr>
          <w:rFonts w:eastAsia="楷体_GB2312"/>
          <w:color w:val="000000"/>
          <w:sz w:val="24"/>
        </w:rPr>
      </w:pPr>
      <w:r>
        <w:rPr>
          <w:rFonts w:eastAsia="楷体_GB2312"/>
          <w:color w:val="000000"/>
          <w:sz w:val="24"/>
        </w:rPr>
        <w:t>“受托人”承诺履行并仅履行</w:t>
      </w:r>
      <w:r>
        <w:rPr>
          <w:rFonts w:eastAsia="楷体_GB2312"/>
          <w:bCs/>
          <w:color w:val="000000"/>
          <w:sz w:val="24"/>
        </w:rPr>
        <w:t>“</w:t>
      </w:r>
      <w:r>
        <w:rPr>
          <w:rFonts w:eastAsia="楷体_GB2312"/>
          <w:color w:val="000000"/>
          <w:sz w:val="24"/>
        </w:rPr>
        <w:t>中国”“法律”和本合同明确约定的职责和义务，“受托人”不承担任何默示的承诺或者义务。</w:t>
      </w:r>
    </w:p>
    <w:p w14:paraId="2D880EC1">
      <w:pPr>
        <w:numPr>
          <w:ilvl w:val="2"/>
          <w:numId w:val="7"/>
        </w:numPr>
        <w:spacing w:line="360" w:lineRule="auto"/>
        <w:ind w:left="1701" w:hanging="708"/>
        <w:rPr>
          <w:rFonts w:eastAsia="楷体_GB2312"/>
          <w:color w:val="000000"/>
          <w:sz w:val="24"/>
        </w:rPr>
      </w:pPr>
      <w:r>
        <w:rPr>
          <w:rFonts w:eastAsia="楷体_GB2312"/>
          <w:color w:val="000000"/>
          <w:sz w:val="24"/>
        </w:rPr>
        <w:t>在“受托人”合理审慎地管理信托事务且不存在故意、欺诈或者重大过失的情形下，所发生的全部损失由“信托财产”承担，“受托人”对“信托财产”发生的损失不承担责任。</w:t>
      </w:r>
    </w:p>
    <w:p w14:paraId="57AADE80">
      <w:pPr>
        <w:numPr>
          <w:ilvl w:val="2"/>
          <w:numId w:val="7"/>
        </w:numPr>
        <w:spacing w:line="360" w:lineRule="auto"/>
        <w:ind w:left="1701" w:hanging="708"/>
        <w:rPr>
          <w:rFonts w:eastAsia="楷体_GB2312"/>
          <w:color w:val="000000"/>
        </w:rPr>
      </w:pPr>
      <w:r>
        <w:rPr>
          <w:rFonts w:eastAsia="楷体_GB2312"/>
          <w:color w:val="000000"/>
          <w:sz w:val="24"/>
        </w:rPr>
        <w:t>“受托人”完全信赖各专业机构会以专业的谨慎与注意履行其义务，并可以依赖其提供的任何书面的证明、报告或者意见和/或者在相关文件中的陈述与保证的真实、准确与完整，除非存在完全与充分的相反证据。</w:t>
      </w:r>
    </w:p>
    <w:p w14:paraId="5126ACEA">
      <w:pPr>
        <w:numPr>
          <w:ilvl w:val="2"/>
          <w:numId w:val="7"/>
        </w:numPr>
        <w:spacing w:line="360" w:lineRule="auto"/>
        <w:ind w:left="1701" w:hanging="708"/>
        <w:rPr>
          <w:rFonts w:eastAsia="楷体_GB2312"/>
          <w:color w:val="000000"/>
          <w:sz w:val="24"/>
        </w:rPr>
      </w:pPr>
      <w:r>
        <w:rPr>
          <w:rFonts w:eastAsia="楷体_GB2312"/>
          <w:color w:val="000000"/>
          <w:sz w:val="24"/>
        </w:rPr>
        <w:t>“受托人”对“资产支持证券”的本金和收益不作任何保证或担保。“资产支持证券”仅代表“信托受益权”的相应份额。“资产支持证券”不代表“受托人”的负债，“资产支持证券”投资机构的追索权仅限于“信托财产”。“受托人”除了承担在“《信托合同》”等“交易文件”所承诺的义务和责任外，不对“资产支持证券”可能产生的其他损失承担义务和责任。</w:t>
      </w:r>
    </w:p>
    <w:p w14:paraId="53C473BC">
      <w:pPr>
        <w:numPr>
          <w:ilvl w:val="1"/>
          <w:numId w:val="7"/>
        </w:numPr>
        <w:spacing w:line="360" w:lineRule="auto"/>
        <w:rPr>
          <w:rFonts w:eastAsia="楷体_GB2312"/>
          <w:color w:val="000000"/>
          <w:sz w:val="24"/>
        </w:rPr>
      </w:pPr>
      <w:r>
        <w:rPr>
          <w:rFonts w:eastAsia="楷体_GB2312"/>
          <w:b/>
          <w:color w:val="000000"/>
          <w:sz w:val="24"/>
        </w:rPr>
        <w:t>委托人的免责</w:t>
      </w:r>
    </w:p>
    <w:p w14:paraId="3298CE43">
      <w:pPr>
        <w:numPr>
          <w:ilvl w:val="2"/>
          <w:numId w:val="7"/>
        </w:numPr>
        <w:spacing w:line="360" w:lineRule="auto"/>
        <w:ind w:left="1701" w:hanging="708"/>
        <w:rPr>
          <w:rFonts w:eastAsia="楷体_GB2312"/>
          <w:color w:val="000000"/>
          <w:sz w:val="24"/>
        </w:rPr>
      </w:pPr>
      <w:r>
        <w:rPr>
          <w:rFonts w:eastAsia="楷体_GB2312"/>
          <w:color w:val="000000"/>
          <w:sz w:val="24"/>
        </w:rPr>
        <w:t>除</w:t>
      </w:r>
      <w:r>
        <w:rPr>
          <w:rFonts w:eastAsia="楷体_GB2312"/>
          <w:bCs/>
          <w:color w:val="000000"/>
          <w:sz w:val="24"/>
        </w:rPr>
        <w:t>“</w:t>
      </w:r>
      <w:r>
        <w:rPr>
          <w:rFonts w:eastAsia="楷体_GB2312"/>
          <w:color w:val="000000"/>
          <w:sz w:val="24"/>
        </w:rPr>
        <w:t>中国”“法律”另有规定外，“委托人”承诺履行并仅履行本合同明确约定的职责，“委托人”不承担任何默示的承诺或者义务，并不作出任何进一步的陈述与保证。</w:t>
      </w:r>
    </w:p>
    <w:p w14:paraId="2B2DA773">
      <w:pPr>
        <w:numPr>
          <w:ilvl w:val="2"/>
          <w:numId w:val="7"/>
        </w:numPr>
        <w:spacing w:line="360" w:lineRule="auto"/>
        <w:ind w:left="1701" w:hanging="708"/>
        <w:rPr>
          <w:rFonts w:eastAsia="楷体_GB2312"/>
          <w:color w:val="000000"/>
          <w:sz w:val="24"/>
        </w:rPr>
      </w:pPr>
      <w:r>
        <w:rPr>
          <w:rFonts w:eastAsia="楷体_GB2312"/>
          <w:color w:val="000000"/>
          <w:sz w:val="24"/>
        </w:rPr>
        <w:t>“委托人”对“资产支持证券”的本金和收益不作任何保证或担保。“资产支持证券”仅代表“信托受益权”的相应份额。“资产支持证券”不代表“发起机构”的负债，“资产支持证券”投资机构的追索权仅限于“信托财产”。“发起机构”除了承担“交易文件”中所承诺的义务和责任外，不对“资产支持证券”中可能产生的其他损失承担义务和责任。</w:t>
      </w:r>
    </w:p>
    <w:p w14:paraId="117DA8B8">
      <w:pPr>
        <w:numPr>
          <w:ilvl w:val="0"/>
          <w:numId w:val="7"/>
        </w:numPr>
        <w:spacing w:line="360" w:lineRule="auto"/>
        <w:outlineLvl w:val="0"/>
        <w:rPr>
          <w:rFonts w:eastAsia="楷体_GB2312"/>
          <w:b/>
          <w:color w:val="000000"/>
          <w:sz w:val="24"/>
        </w:rPr>
      </w:pPr>
      <w:bookmarkStart w:id="1628" w:name="_Toc219654289"/>
      <w:bookmarkEnd w:id="1628"/>
      <w:bookmarkStart w:id="1629" w:name="_Toc219654360"/>
      <w:bookmarkEnd w:id="1629"/>
      <w:bookmarkStart w:id="1630" w:name="_Toc219710688"/>
      <w:bookmarkStart w:id="1631" w:name="_Toc225538169"/>
      <w:r>
        <w:rPr>
          <w:rFonts w:eastAsia="楷体_GB2312"/>
          <w:b/>
          <w:color w:val="000000"/>
          <w:sz w:val="24"/>
        </w:rPr>
        <w:t>信息披露</w:t>
      </w:r>
      <w:bookmarkEnd w:id="1630"/>
      <w:bookmarkEnd w:id="1631"/>
    </w:p>
    <w:p w14:paraId="1CBE4854">
      <w:pPr>
        <w:spacing w:line="360" w:lineRule="auto"/>
        <w:ind w:firstLine="482" w:firstLineChars="200"/>
        <w:rPr>
          <w:rFonts w:eastAsia="楷体_GB2312"/>
          <w:b/>
          <w:i/>
          <w:iCs/>
          <w:color w:val="FF0000"/>
          <w:sz w:val="24"/>
        </w:rPr>
      </w:pPr>
      <w:r>
        <w:rPr>
          <w:rFonts w:eastAsia="楷体_GB2312"/>
          <w:b/>
          <w:i/>
          <w:iCs/>
          <w:color w:val="FF0000"/>
          <w:sz w:val="24"/>
        </w:rPr>
        <w:t>【注：</w:t>
      </w:r>
      <w:r>
        <w:rPr>
          <w:rFonts w:hint="eastAsia" w:eastAsia="楷体_GB2312"/>
          <w:b/>
          <w:i/>
          <w:iCs/>
          <w:color w:val="FF0000"/>
          <w:sz w:val="24"/>
        </w:rPr>
        <w:t>关</w:t>
      </w:r>
      <w:bookmarkStart w:id="1823" w:name="_GoBack"/>
      <w:r>
        <w:rPr>
          <w:rFonts w:hint="eastAsia" w:eastAsia="楷体_GB2312"/>
          <w:b/>
          <w:i/>
          <w:iCs/>
          <w:color w:val="FF0000"/>
          <w:sz w:val="24"/>
        </w:rPr>
        <w:t>于</w:t>
      </w:r>
      <w:r>
        <w:rPr>
          <w:rFonts w:eastAsia="楷体_GB2312"/>
          <w:b/>
          <w:i/>
          <w:iCs/>
          <w:color w:val="FF0000"/>
          <w:sz w:val="24"/>
        </w:rPr>
        <w:t>信息披露的</w:t>
      </w:r>
      <w:r>
        <w:rPr>
          <w:rFonts w:hint="eastAsia" w:eastAsia="楷体_GB2312"/>
          <w:b/>
          <w:i/>
          <w:iCs/>
          <w:color w:val="FF0000"/>
          <w:sz w:val="24"/>
        </w:rPr>
        <w:t>相关内容等</w:t>
      </w:r>
      <w:r>
        <w:rPr>
          <w:rFonts w:eastAsia="楷体_GB2312"/>
          <w:b/>
          <w:i/>
          <w:iCs/>
          <w:color w:val="FF0000"/>
          <w:sz w:val="24"/>
        </w:rPr>
        <w:t>约定</w:t>
      </w:r>
      <w:r>
        <w:rPr>
          <w:rFonts w:hint="eastAsia" w:eastAsia="楷体_GB2312"/>
          <w:b/>
          <w:i/>
          <w:iCs/>
          <w:color w:val="FF0000"/>
          <w:sz w:val="24"/>
        </w:rPr>
        <w:t>均</w:t>
      </w:r>
      <w:r>
        <w:rPr>
          <w:rFonts w:eastAsia="楷体_GB2312"/>
          <w:b/>
          <w:i/>
          <w:iCs/>
          <w:color w:val="FF0000"/>
          <w:sz w:val="24"/>
        </w:rPr>
        <w:t>应根据届时适用的信息披露规则</w:t>
      </w:r>
      <w:bookmarkEnd w:id="1823"/>
      <w:r>
        <w:rPr>
          <w:rFonts w:hint="eastAsia" w:eastAsia="楷体_GB2312"/>
          <w:b/>
          <w:i/>
          <w:iCs/>
          <w:color w:val="FF0000"/>
          <w:sz w:val="24"/>
        </w:rPr>
        <w:t>予以</w:t>
      </w:r>
      <w:r>
        <w:rPr>
          <w:rFonts w:hint="eastAsia" w:eastAsia="楷体_GB2312"/>
          <w:b/>
          <w:i/>
          <w:iCs/>
          <w:color w:val="FF0000"/>
          <w:sz w:val="24"/>
          <w:lang w:val="en-US" w:eastAsia="zh-CN"/>
        </w:rPr>
        <w:t>适</w:t>
      </w:r>
      <w:r>
        <w:rPr>
          <w:rFonts w:hint="eastAsia" w:eastAsia="楷体_GB2312"/>
          <w:b/>
          <w:i/>
          <w:iCs/>
          <w:color w:val="FF0000"/>
          <w:sz w:val="24"/>
        </w:rPr>
        <w:t>时</w:t>
      </w:r>
      <w:r>
        <w:rPr>
          <w:rFonts w:eastAsia="楷体_GB2312"/>
          <w:b/>
          <w:i/>
          <w:iCs/>
          <w:color w:val="FF0000"/>
          <w:sz w:val="24"/>
        </w:rPr>
        <w:t>调整。】</w:t>
      </w:r>
    </w:p>
    <w:p w14:paraId="4AE97BCE">
      <w:pPr>
        <w:numPr>
          <w:ilvl w:val="1"/>
          <w:numId w:val="7"/>
        </w:numPr>
        <w:spacing w:line="360" w:lineRule="auto"/>
        <w:rPr>
          <w:rFonts w:eastAsia="楷体_GB2312"/>
          <w:color w:val="000000"/>
          <w:sz w:val="24"/>
        </w:rPr>
      </w:pPr>
      <w:r>
        <w:rPr>
          <w:rFonts w:eastAsia="楷体_GB2312"/>
          <w:color w:val="000000"/>
          <w:sz w:val="24"/>
        </w:rPr>
        <w:t>“受托人”应通过</w:t>
      </w:r>
      <w:bookmarkStart w:id="1632" w:name="_Hlk226474783"/>
      <w:r>
        <w:rPr>
          <w:rFonts w:eastAsia="楷体_GB2312"/>
          <w:color w:val="000000"/>
          <w:sz w:val="24"/>
        </w:rPr>
        <w:t>“交易商协会”综合业务和信息服务平台、中国货币网、中国债券信息网、“北金所”官方网站及“交易商协会”认可的其他方式</w:t>
      </w:r>
      <w:bookmarkEnd w:id="1632"/>
      <w:r>
        <w:rPr>
          <w:rFonts w:eastAsia="楷体_GB2312"/>
          <w:color w:val="000000"/>
          <w:sz w:val="24"/>
        </w:rPr>
        <w:t>进行相关的信息披露。“受托人”应保证信息披露及时、真实、准确和完整，不得有虚假记载、误导性陈述和重大遗漏。</w:t>
      </w:r>
    </w:p>
    <w:p w14:paraId="7A3F7E00">
      <w:pPr>
        <w:numPr>
          <w:ilvl w:val="1"/>
          <w:numId w:val="7"/>
        </w:numPr>
        <w:spacing w:line="360" w:lineRule="auto"/>
        <w:rPr>
          <w:rFonts w:eastAsia="楷体_GB2312"/>
          <w:color w:val="000000"/>
          <w:sz w:val="24"/>
        </w:rPr>
      </w:pPr>
      <w:r>
        <w:rPr>
          <w:rFonts w:eastAsia="楷体_GB2312"/>
          <w:color w:val="000000"/>
          <w:sz w:val="24"/>
        </w:rPr>
        <w:t>“委托人”和接受“受托人”委托提供相关服务的机构应按照本合同和相关合同的约定，及时向“受托人”提供有关信息报告，并保证其向“受托人”所提供信息真实、准确和完整。</w:t>
      </w:r>
    </w:p>
    <w:p w14:paraId="70D1C2FA">
      <w:pPr>
        <w:numPr>
          <w:ilvl w:val="1"/>
          <w:numId w:val="7"/>
        </w:numPr>
        <w:spacing w:line="360" w:lineRule="auto"/>
        <w:rPr>
          <w:rFonts w:eastAsia="楷体_GB2312"/>
          <w:color w:val="000000"/>
          <w:sz w:val="24"/>
        </w:rPr>
      </w:pPr>
      <w:r>
        <w:rPr>
          <w:rFonts w:eastAsia="楷体_GB2312"/>
          <w:color w:val="000000"/>
          <w:sz w:val="24"/>
        </w:rPr>
        <w:t>“委托人”、“受托人”等相关知情人在信息披露前不得泄露拟披露的信息。</w:t>
      </w:r>
    </w:p>
    <w:p w14:paraId="3A31F020">
      <w:pPr>
        <w:numPr>
          <w:ilvl w:val="1"/>
          <w:numId w:val="7"/>
        </w:numPr>
        <w:spacing w:line="360" w:lineRule="auto"/>
        <w:rPr>
          <w:rFonts w:eastAsia="楷体_GB2312"/>
          <w:color w:val="000000"/>
          <w:sz w:val="24"/>
        </w:rPr>
      </w:pPr>
      <w:r>
        <w:rPr>
          <w:rFonts w:eastAsia="楷体_GB2312"/>
          <w:color w:val="000000"/>
          <w:sz w:val="24"/>
        </w:rPr>
        <w:t>“受托人”应于每个“受托机构报告日”向</w:t>
      </w:r>
      <w:bookmarkStart w:id="1633" w:name="_Hlk226474438"/>
      <w:r>
        <w:rPr>
          <w:rFonts w:eastAsia="楷体_GB2312"/>
          <w:color w:val="000000"/>
          <w:sz w:val="24"/>
        </w:rPr>
        <w:t>“交易商协会”综合业务和信息服务平台、中国货币网、中国债券信息网、“北金所”官方网站及“交易商协会”认可的其他方式</w:t>
      </w:r>
      <w:bookmarkEnd w:id="1633"/>
      <w:r>
        <w:rPr>
          <w:rFonts w:eastAsia="楷体_GB2312"/>
          <w:color w:val="000000"/>
          <w:sz w:val="24"/>
        </w:rPr>
        <w:t>提供“期间受托机构报告”（格式见本合同</w:t>
      </w:r>
      <w:r>
        <w:rPr>
          <w:rFonts w:eastAsia="楷体_GB2312"/>
          <w:b/>
          <w:i/>
          <w:iCs/>
          <w:color w:val="000000"/>
          <w:sz w:val="24"/>
        </w:rPr>
        <w:t>附件十</w:t>
      </w:r>
      <w:r>
        <w:rPr>
          <w:rFonts w:eastAsia="楷体_GB2312"/>
          <w:color w:val="000000"/>
          <w:sz w:val="24"/>
        </w:rPr>
        <w:t>），反映当期“资产支持证券”对应的“信托财产”状况和各级别“资产支持证券”对应的本息支付信息。</w:t>
      </w:r>
    </w:p>
    <w:p w14:paraId="28D5C67B">
      <w:pPr>
        <w:numPr>
          <w:ilvl w:val="1"/>
          <w:numId w:val="7"/>
        </w:numPr>
        <w:spacing w:line="360" w:lineRule="auto"/>
        <w:rPr>
          <w:rFonts w:eastAsia="楷体_GB2312"/>
          <w:color w:val="000000"/>
          <w:sz w:val="24"/>
        </w:rPr>
      </w:pPr>
      <w:r>
        <w:rPr>
          <w:rFonts w:eastAsia="楷体_GB2312"/>
          <w:color w:val="000000"/>
          <w:sz w:val="24"/>
        </w:rPr>
        <w:t>在每年4月30日前，“受托人”公布经“审计师”审计的上年度的“年度受托机构报告”（格式见本合同</w:t>
      </w:r>
      <w:r>
        <w:rPr>
          <w:rFonts w:eastAsia="楷体_GB2312"/>
          <w:b/>
          <w:i/>
          <w:iCs/>
          <w:color w:val="000000"/>
          <w:sz w:val="24"/>
        </w:rPr>
        <w:t>附件十</w:t>
      </w:r>
      <w:r>
        <w:rPr>
          <w:rFonts w:eastAsia="楷体_GB2312"/>
          <w:color w:val="000000"/>
          <w:sz w:val="24"/>
        </w:rPr>
        <w:t>），但“信托”设立不足两个月的，“受托人”可以不编制“年度受托机构报告”。为出具审计报告，“审计师”有权查阅“受托人”、“贷款服务机构”、“资金保管机构”的相关账目、文件等与“信托”相关的资料；“受托人”、“贷款服务机构”、“资金保管机构”应</w:t>
      </w:r>
      <w:r>
        <w:rPr>
          <w:rFonts w:hint="eastAsia" w:eastAsia="楷体_GB2312"/>
          <w:color w:val="000000"/>
          <w:sz w:val="24"/>
        </w:rPr>
        <w:t>给予</w:t>
      </w:r>
      <w:r>
        <w:rPr>
          <w:rFonts w:eastAsia="楷体_GB2312"/>
          <w:color w:val="000000"/>
          <w:sz w:val="24"/>
        </w:rPr>
        <w:t>配合。</w:t>
      </w:r>
    </w:p>
    <w:p w14:paraId="2C2C21C5">
      <w:pPr>
        <w:numPr>
          <w:ilvl w:val="1"/>
          <w:numId w:val="7"/>
        </w:numPr>
        <w:spacing w:line="360" w:lineRule="auto"/>
        <w:rPr>
          <w:rFonts w:eastAsia="楷体_GB2312"/>
          <w:color w:val="000000"/>
          <w:sz w:val="24"/>
        </w:rPr>
      </w:pPr>
      <w:r>
        <w:rPr>
          <w:rFonts w:eastAsia="楷体_GB2312"/>
          <w:color w:val="000000"/>
          <w:sz w:val="24"/>
        </w:rPr>
        <w:t>“受托人”应与“评级机构”就“优先级资产支持证券”跟踪评级的有关安排作出约定，并应于“优先级资产支持证券”存续期限内每年的7月31日前向“资产支持证券持有人”披露上年度的跟踪评级报告。“受托人”应于每个“受托机构报告日”向“评级机构”提供“期间受托机构报告”，如发生“特别决议事项”或以下第</w:t>
      </w:r>
      <w:r>
        <w:rPr>
          <w:rFonts w:eastAsia="楷体_GB2312"/>
          <w:color w:val="000000"/>
        </w:rPr>
        <w:fldChar w:fldCharType="begin"/>
      </w:r>
      <w:r>
        <w:rPr>
          <w:rFonts w:eastAsia="楷体_GB2312"/>
          <w:color w:val="000000"/>
          <w:sz w:val="24"/>
        </w:rPr>
        <w:instrText xml:space="preserve"> REF _Ref207007513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21.7</w:t>
      </w:r>
      <w:r>
        <w:rPr>
          <w:rFonts w:eastAsia="楷体_GB2312"/>
          <w:color w:val="000000"/>
        </w:rPr>
        <w:fldChar w:fldCharType="end"/>
      </w:r>
      <w:r>
        <w:rPr>
          <w:rFonts w:eastAsia="楷体_GB2312"/>
          <w:color w:val="000000"/>
          <w:sz w:val="24"/>
        </w:rPr>
        <w:t>款所称临时性重大事件时，“受托人”应在知道或者应当知道事件发生后的【】个“工作日”内通知“评级机构”。</w:t>
      </w:r>
    </w:p>
    <w:p w14:paraId="3418482D">
      <w:pPr>
        <w:numPr>
          <w:ilvl w:val="1"/>
          <w:numId w:val="7"/>
        </w:numPr>
        <w:spacing w:line="360" w:lineRule="auto"/>
        <w:rPr>
          <w:rFonts w:eastAsia="楷体_GB2312"/>
          <w:color w:val="000000"/>
        </w:rPr>
      </w:pPr>
      <w:bookmarkStart w:id="1634" w:name="_Ref207007513"/>
      <w:r>
        <w:rPr>
          <w:rFonts w:eastAsia="楷体_GB2312"/>
          <w:color w:val="000000"/>
          <w:sz w:val="24"/>
        </w:rPr>
        <w:t>在发生对“资产支持证券”投资价值具有实质性影响的临时性重大事件时，“受托人”应在事发后的【】个“工作日”内披露相关信息</w:t>
      </w:r>
      <w:r>
        <w:rPr>
          <w:rFonts w:eastAsia="楷体_GB2312"/>
          <w:i/>
          <w:iCs/>
          <w:color w:val="000000"/>
          <w:sz w:val="24"/>
        </w:rPr>
        <w:t>（格式参见本合同</w:t>
      </w:r>
      <w:r>
        <w:rPr>
          <w:rFonts w:eastAsia="楷体_GB2312"/>
          <w:b/>
          <w:i/>
          <w:iCs/>
          <w:color w:val="000000"/>
          <w:sz w:val="24"/>
        </w:rPr>
        <w:t>附件十一</w:t>
      </w:r>
      <w:r>
        <w:rPr>
          <w:rFonts w:eastAsia="楷体_GB2312"/>
          <w:i/>
          <w:iCs/>
          <w:color w:val="000000"/>
          <w:sz w:val="24"/>
        </w:rPr>
        <w:t>），并向“监管部门”、</w:t>
      </w:r>
      <w:r>
        <w:rPr>
          <w:rFonts w:eastAsia="楷体_GB2312"/>
          <w:i/>
          <w:iCs/>
          <w:sz w:val="24"/>
        </w:rPr>
        <w:t>“银登</w:t>
      </w:r>
      <w:r>
        <w:rPr>
          <w:rFonts w:eastAsia="楷体_GB2312"/>
          <w:sz w:val="24"/>
        </w:rPr>
        <w:t>中心”</w:t>
      </w:r>
      <w:r>
        <w:rPr>
          <w:rFonts w:eastAsia="楷体_GB2312"/>
          <w:color w:val="000000"/>
          <w:sz w:val="24"/>
        </w:rPr>
        <w:t>、“交易商协会”报告。本条所称临时性重大事件包括但不限于以下情形：</w:t>
      </w:r>
      <w:bookmarkEnd w:id="1634"/>
    </w:p>
    <w:p w14:paraId="2295B660">
      <w:pPr>
        <w:numPr>
          <w:ilvl w:val="2"/>
          <w:numId w:val="7"/>
        </w:numPr>
        <w:spacing w:line="360" w:lineRule="auto"/>
        <w:ind w:left="1701" w:hanging="708"/>
        <w:rPr>
          <w:rFonts w:eastAsia="楷体_GB2312"/>
          <w:color w:val="000000"/>
          <w:sz w:val="24"/>
        </w:rPr>
      </w:pPr>
      <w:r>
        <w:rPr>
          <w:rFonts w:eastAsia="楷体_GB2312"/>
          <w:color w:val="000000"/>
          <w:sz w:val="24"/>
        </w:rPr>
        <w:t>发生或预期将发生“受托人”不能按时支付“资产支持证券”本息等影响投资者利益的事项；</w:t>
      </w:r>
    </w:p>
    <w:p w14:paraId="6482340D">
      <w:pPr>
        <w:numPr>
          <w:ilvl w:val="2"/>
          <w:numId w:val="7"/>
        </w:numPr>
        <w:spacing w:line="360" w:lineRule="auto"/>
        <w:ind w:left="1701" w:hanging="708"/>
        <w:rPr>
          <w:rFonts w:eastAsia="楷体_GB2312"/>
          <w:color w:val="000000"/>
          <w:sz w:val="24"/>
        </w:rPr>
      </w:pPr>
      <w:r>
        <w:rPr>
          <w:rFonts w:eastAsia="楷体_GB2312"/>
          <w:color w:val="000000"/>
          <w:sz w:val="24"/>
        </w:rPr>
        <w:t>“受托人”、“贷款服务机构”或“资金保管机构”等为证券化提供服务的机构发生影响“资产支持证券”投资价值的违法、违规或违约行为；</w:t>
      </w:r>
    </w:p>
    <w:p w14:paraId="7213B2E2">
      <w:pPr>
        <w:numPr>
          <w:ilvl w:val="2"/>
          <w:numId w:val="7"/>
        </w:numPr>
        <w:spacing w:line="360" w:lineRule="auto"/>
        <w:ind w:left="1701" w:hanging="708"/>
        <w:rPr>
          <w:rFonts w:eastAsia="楷体_GB2312"/>
          <w:color w:val="000000"/>
          <w:sz w:val="24"/>
        </w:rPr>
      </w:pPr>
      <w:r>
        <w:rPr>
          <w:rFonts w:eastAsia="楷体_GB2312"/>
          <w:color w:val="000000"/>
          <w:sz w:val="24"/>
        </w:rPr>
        <w:t>“受托人”、“贷款服务机构”或“资金保管机构”等为证券化提供服务的机构发生变更；</w:t>
      </w:r>
    </w:p>
    <w:p w14:paraId="78C271F9">
      <w:pPr>
        <w:numPr>
          <w:ilvl w:val="2"/>
          <w:numId w:val="7"/>
        </w:numPr>
        <w:spacing w:line="360" w:lineRule="auto"/>
        <w:ind w:left="1701" w:hanging="708"/>
        <w:rPr>
          <w:rFonts w:eastAsia="楷体_GB2312"/>
          <w:color w:val="000000"/>
          <w:sz w:val="24"/>
        </w:rPr>
      </w:pPr>
      <w:r>
        <w:rPr>
          <w:rFonts w:eastAsia="楷体_GB2312"/>
          <w:color w:val="000000"/>
          <w:sz w:val="24"/>
        </w:rPr>
        <w:t>“资产支持证券”的信用评级发生不利变化；</w:t>
      </w:r>
    </w:p>
    <w:p w14:paraId="569B509F">
      <w:pPr>
        <w:numPr>
          <w:ilvl w:val="2"/>
          <w:numId w:val="7"/>
        </w:numPr>
        <w:spacing w:line="360" w:lineRule="auto"/>
        <w:ind w:left="1701" w:hanging="708"/>
        <w:rPr>
          <w:rFonts w:eastAsia="楷体_GB2312"/>
          <w:color w:val="000000"/>
          <w:sz w:val="24"/>
        </w:rPr>
      </w:pPr>
      <w:r>
        <w:rPr>
          <w:rFonts w:eastAsia="楷体_GB2312"/>
          <w:color w:val="000000"/>
          <w:sz w:val="24"/>
        </w:rPr>
        <w:t>“受托人”、“贷款服务机构”或“资金保管机构”等为证券化提供服务的机构或者“资产池”涉及法律纠纷，可能影响“资产支持证券”本息的按时兑付；</w:t>
      </w:r>
    </w:p>
    <w:p w14:paraId="1F70C4A5">
      <w:pPr>
        <w:numPr>
          <w:ilvl w:val="2"/>
          <w:numId w:val="7"/>
        </w:numPr>
        <w:spacing w:line="360" w:lineRule="auto"/>
        <w:ind w:left="1701" w:hanging="708"/>
        <w:rPr>
          <w:rFonts w:eastAsia="楷体_GB2312"/>
          <w:color w:val="000000"/>
          <w:sz w:val="24"/>
        </w:rPr>
      </w:pPr>
      <w:r>
        <w:rPr>
          <w:rFonts w:eastAsia="楷体_GB2312"/>
          <w:color w:val="000000"/>
          <w:sz w:val="24"/>
        </w:rPr>
        <w:t>“受托人”、“发起机构”、“贷款服务机构”或“资金保管机构”等为证券化提供服务的机构的经营情况发生重大变化，或者作出减资、合并、分立、解散、申请破产等决定，可能降低其从事证券化业务水平，对“资产支持证券持有人”的利益造成“重大不利影响”；</w:t>
      </w:r>
    </w:p>
    <w:p w14:paraId="4434C276">
      <w:pPr>
        <w:numPr>
          <w:ilvl w:val="2"/>
          <w:numId w:val="7"/>
        </w:numPr>
        <w:spacing w:line="360" w:lineRule="auto"/>
        <w:ind w:left="1701" w:hanging="708"/>
        <w:rPr>
          <w:rFonts w:eastAsia="楷体_GB2312"/>
          <w:color w:val="000000"/>
        </w:rPr>
      </w:pPr>
      <w:r>
        <w:rPr>
          <w:rFonts w:hint="eastAsia" w:eastAsia="楷体_GB2312"/>
          <w:color w:val="000000"/>
          <w:sz w:val="24"/>
        </w:rPr>
        <w:t>资产池的提前还款比例超过</w:t>
      </w:r>
      <w:r>
        <w:rPr>
          <w:rFonts w:eastAsia="楷体_GB2312"/>
          <w:color w:val="000000"/>
          <w:sz w:val="24"/>
        </w:rPr>
        <w:t>“贷款服务机构”</w:t>
      </w:r>
      <w:r>
        <w:rPr>
          <w:rFonts w:hint="eastAsia" w:eastAsia="楷体_GB2312"/>
          <w:color w:val="000000"/>
          <w:sz w:val="24"/>
        </w:rPr>
        <w:t>预测的提前还款比例，或任一时点资产池实际提前还款比例超过【】%的；</w:t>
      </w:r>
    </w:p>
    <w:p w14:paraId="3714FE83">
      <w:pPr>
        <w:numPr>
          <w:ilvl w:val="2"/>
          <w:numId w:val="7"/>
        </w:numPr>
        <w:spacing w:line="360" w:lineRule="auto"/>
        <w:ind w:left="1701" w:hanging="708"/>
        <w:rPr>
          <w:rFonts w:eastAsia="楷体_GB2312"/>
          <w:color w:val="000000"/>
        </w:rPr>
      </w:pPr>
      <w:r>
        <w:rPr>
          <w:rFonts w:eastAsia="楷体_GB2312"/>
          <w:color w:val="000000"/>
          <w:sz w:val="24"/>
        </w:rPr>
        <w:t>本合同约定应公告的其他事项；</w:t>
      </w:r>
    </w:p>
    <w:p w14:paraId="3B74B2AB">
      <w:pPr>
        <w:numPr>
          <w:ilvl w:val="2"/>
          <w:numId w:val="7"/>
        </w:numPr>
        <w:spacing w:line="360" w:lineRule="auto"/>
        <w:ind w:left="1701" w:hanging="708"/>
        <w:rPr>
          <w:rFonts w:eastAsia="楷体_GB2312"/>
          <w:color w:val="000000"/>
          <w:sz w:val="24"/>
        </w:rPr>
      </w:pPr>
      <w:r>
        <w:rPr>
          <w:rFonts w:eastAsia="楷体_GB2312"/>
          <w:color w:val="000000"/>
          <w:sz w:val="24"/>
        </w:rPr>
        <w:t>“监管部门”和“银登中心”规定应公告的其他事项；</w:t>
      </w:r>
    </w:p>
    <w:p w14:paraId="06F7241D">
      <w:pPr>
        <w:numPr>
          <w:ilvl w:val="2"/>
          <w:numId w:val="7"/>
        </w:numPr>
        <w:spacing w:line="360" w:lineRule="auto"/>
        <w:ind w:left="1701" w:hanging="708"/>
        <w:rPr>
          <w:rFonts w:eastAsia="楷体_GB2312"/>
          <w:b/>
          <w:color w:val="000000"/>
          <w:sz w:val="24"/>
        </w:rPr>
      </w:pPr>
      <w:r>
        <w:rPr>
          <w:rFonts w:eastAsia="楷体_GB2312"/>
          <w:color w:val="000000"/>
          <w:sz w:val="24"/>
        </w:rPr>
        <w:t>“中国”“法律”规定应公告的其他事项。</w:t>
      </w:r>
    </w:p>
    <w:p w14:paraId="523125C8">
      <w:pPr>
        <w:numPr>
          <w:ilvl w:val="0"/>
          <w:numId w:val="7"/>
        </w:numPr>
        <w:spacing w:line="360" w:lineRule="auto"/>
        <w:outlineLvl w:val="0"/>
        <w:rPr>
          <w:rFonts w:eastAsia="楷体_GB2312"/>
          <w:b/>
          <w:color w:val="000000"/>
          <w:sz w:val="24"/>
        </w:rPr>
      </w:pPr>
      <w:bookmarkStart w:id="1635" w:name="_Toc219654362"/>
      <w:bookmarkEnd w:id="1635"/>
      <w:bookmarkStart w:id="1636" w:name="_Toc219654291"/>
      <w:bookmarkEnd w:id="1636"/>
      <w:bookmarkStart w:id="1637" w:name="_Toc225538170"/>
      <w:bookmarkStart w:id="1638" w:name="_Toc219710689"/>
      <w:r>
        <w:rPr>
          <w:rFonts w:eastAsia="楷体_GB2312"/>
          <w:b/>
          <w:color w:val="000000"/>
          <w:sz w:val="24"/>
        </w:rPr>
        <w:t>保密条款</w:t>
      </w:r>
      <w:bookmarkEnd w:id="1637"/>
      <w:bookmarkEnd w:id="1638"/>
    </w:p>
    <w:p w14:paraId="42833ACE">
      <w:pPr>
        <w:numPr>
          <w:ilvl w:val="1"/>
          <w:numId w:val="7"/>
        </w:numPr>
        <w:spacing w:line="360" w:lineRule="auto"/>
        <w:rPr>
          <w:rFonts w:eastAsia="楷体_GB2312"/>
          <w:color w:val="000000"/>
          <w:sz w:val="24"/>
        </w:rPr>
      </w:pPr>
      <w:bookmarkStart w:id="1639" w:name="_Ref306888644"/>
      <w:bookmarkStart w:id="1640" w:name="_Ref107894767"/>
      <w:bookmarkStart w:id="1641" w:name="_Toc201569468"/>
      <w:bookmarkStart w:id="1642" w:name="_Toc110153480"/>
      <w:r>
        <w:rPr>
          <w:rFonts w:eastAsia="楷体_GB2312"/>
          <w:color w:val="000000"/>
          <w:sz w:val="24"/>
        </w:rPr>
        <w:t>一方对与其他方的业务、财务或其他事项相关的具有保密性质的信息，以及因履行本合同或其他“交易文件”而获得的任何涉及“信托财产”或“借款人”、“担保人”（如有）的信息（包括但不限于“资产清单”、“贷款合同”、“账户记录”和“数据文件夹”中的“借款人”、“担保人”（如有）相关信息）（以下简称“保密信息”）负有保密义务。除其他有关保密协议另有约定外，接受或处理保密信息的一方应当：</w:t>
      </w:r>
      <w:bookmarkEnd w:id="1639"/>
    </w:p>
    <w:p w14:paraId="3F73BFD0">
      <w:pPr>
        <w:numPr>
          <w:ilvl w:val="0"/>
          <w:numId w:val="36"/>
        </w:numPr>
        <w:spacing w:line="360" w:lineRule="auto"/>
        <w:rPr>
          <w:rFonts w:eastAsia="楷体_GB2312"/>
          <w:color w:val="000000"/>
          <w:sz w:val="24"/>
        </w:rPr>
      </w:pPr>
      <w:r>
        <w:rPr>
          <w:rFonts w:eastAsia="楷体_GB2312"/>
          <w:color w:val="000000"/>
          <w:sz w:val="24"/>
        </w:rPr>
        <w:t>对保密信息予以严格保密；</w:t>
      </w:r>
    </w:p>
    <w:p w14:paraId="56925345">
      <w:pPr>
        <w:numPr>
          <w:ilvl w:val="0"/>
          <w:numId w:val="36"/>
        </w:numPr>
        <w:spacing w:line="360" w:lineRule="auto"/>
        <w:rPr>
          <w:rFonts w:eastAsia="楷体_GB2312"/>
          <w:color w:val="000000"/>
          <w:sz w:val="24"/>
        </w:rPr>
      </w:pPr>
      <w:r>
        <w:rPr>
          <w:rFonts w:eastAsia="楷体_GB2312"/>
          <w:color w:val="000000"/>
          <w:sz w:val="24"/>
        </w:rPr>
        <w:t>未经披露方的书面同意，只能将所收到的保密信息用于本合同约定的目的，而不得用于其他任何目的或用途；</w:t>
      </w:r>
    </w:p>
    <w:p w14:paraId="46916D8F">
      <w:pPr>
        <w:numPr>
          <w:ilvl w:val="0"/>
          <w:numId w:val="36"/>
        </w:numPr>
        <w:spacing w:line="360" w:lineRule="auto"/>
        <w:rPr>
          <w:rFonts w:eastAsia="楷体_GB2312"/>
          <w:color w:val="000000"/>
          <w:sz w:val="24"/>
        </w:rPr>
      </w:pPr>
      <w:r>
        <w:rPr>
          <w:rFonts w:eastAsia="楷体_GB2312"/>
          <w:color w:val="000000"/>
          <w:sz w:val="24"/>
        </w:rPr>
        <w:t>在信息披露前不得泄露拟披露的信息；</w:t>
      </w:r>
    </w:p>
    <w:p w14:paraId="5424EB94">
      <w:pPr>
        <w:numPr>
          <w:ilvl w:val="0"/>
          <w:numId w:val="36"/>
        </w:numPr>
        <w:spacing w:line="360" w:lineRule="auto"/>
        <w:rPr>
          <w:rFonts w:eastAsia="楷体_GB2312"/>
          <w:color w:val="000000"/>
          <w:sz w:val="24"/>
          <w:lang w:val="en-GB"/>
        </w:rPr>
      </w:pPr>
      <w:r>
        <w:rPr>
          <w:rFonts w:eastAsia="楷体_GB2312"/>
          <w:color w:val="000000"/>
          <w:sz w:val="24"/>
        </w:rPr>
        <w:t>除对履行其工作职责而需知道保密信息的本方雇员外，不向任何人或实体披露上述保密信息。</w:t>
      </w:r>
    </w:p>
    <w:p w14:paraId="276E646F">
      <w:pPr>
        <w:numPr>
          <w:ilvl w:val="1"/>
          <w:numId w:val="7"/>
        </w:numPr>
        <w:spacing w:line="360" w:lineRule="auto"/>
        <w:rPr>
          <w:rFonts w:eastAsia="楷体_GB2312"/>
          <w:color w:val="000000"/>
          <w:sz w:val="24"/>
        </w:rPr>
      </w:pPr>
      <w:r>
        <w:rPr>
          <w:rFonts w:eastAsia="楷体_GB2312"/>
          <w:color w:val="000000"/>
          <w:sz w:val="24"/>
        </w:rPr>
        <w:t>第</w:t>
      </w:r>
      <w:r>
        <w:rPr>
          <w:rFonts w:eastAsia="楷体_GB2312"/>
          <w:color w:val="000000"/>
        </w:rPr>
        <w:fldChar w:fldCharType="begin"/>
      </w:r>
      <w:r>
        <w:rPr>
          <w:rFonts w:eastAsia="楷体_GB2312"/>
          <w:color w:val="000000"/>
          <w:sz w:val="24"/>
        </w:rPr>
        <w:instrText xml:space="preserve"> REF _Ref306888644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22.1</w:t>
      </w:r>
      <w:r>
        <w:rPr>
          <w:rFonts w:eastAsia="楷体_GB2312"/>
          <w:color w:val="000000"/>
        </w:rPr>
        <w:fldChar w:fldCharType="end"/>
      </w:r>
      <w:r>
        <w:rPr>
          <w:rFonts w:eastAsia="楷体_GB2312"/>
          <w:color w:val="000000"/>
          <w:sz w:val="24"/>
        </w:rPr>
        <w:t>款的约定不适用于下述资料及其相关信息：</w:t>
      </w:r>
    </w:p>
    <w:p w14:paraId="510FBDBB">
      <w:pPr>
        <w:numPr>
          <w:ilvl w:val="0"/>
          <w:numId w:val="37"/>
        </w:numPr>
        <w:spacing w:line="360" w:lineRule="auto"/>
        <w:rPr>
          <w:rFonts w:eastAsia="楷体_GB2312"/>
          <w:color w:val="000000"/>
          <w:sz w:val="24"/>
        </w:rPr>
      </w:pPr>
      <w:r>
        <w:rPr>
          <w:rFonts w:eastAsia="楷体_GB2312"/>
          <w:color w:val="000000"/>
          <w:sz w:val="24"/>
        </w:rPr>
        <w:t>有相关书面记录能够证明在披露方向接受方披露之前已为接受方所知的资料及其相关信息；</w:t>
      </w:r>
    </w:p>
    <w:p w14:paraId="63EE8CBE">
      <w:pPr>
        <w:numPr>
          <w:ilvl w:val="0"/>
          <w:numId w:val="37"/>
        </w:numPr>
        <w:spacing w:line="360" w:lineRule="auto"/>
        <w:rPr>
          <w:rFonts w:eastAsia="楷体_GB2312"/>
          <w:color w:val="000000"/>
          <w:sz w:val="24"/>
        </w:rPr>
      </w:pPr>
      <w:r>
        <w:rPr>
          <w:rFonts w:eastAsia="楷体_GB2312"/>
          <w:color w:val="000000"/>
          <w:sz w:val="24"/>
        </w:rPr>
        <w:t>非因一方的违约行为而成为公共信息的信息；</w:t>
      </w:r>
    </w:p>
    <w:p w14:paraId="519A3EBF">
      <w:pPr>
        <w:numPr>
          <w:ilvl w:val="0"/>
          <w:numId w:val="37"/>
        </w:numPr>
        <w:spacing w:line="360" w:lineRule="auto"/>
        <w:rPr>
          <w:rFonts w:eastAsia="楷体_GB2312"/>
          <w:color w:val="000000"/>
          <w:sz w:val="24"/>
        </w:rPr>
      </w:pPr>
      <w:r>
        <w:rPr>
          <w:rFonts w:eastAsia="楷体_GB2312"/>
          <w:color w:val="000000"/>
          <w:sz w:val="24"/>
        </w:rPr>
        <w:t>接受方从对该等资料和信息不承担任何保密义务的第三方获得的资料和信息；</w:t>
      </w:r>
    </w:p>
    <w:p w14:paraId="25660A8B">
      <w:pPr>
        <w:numPr>
          <w:ilvl w:val="0"/>
          <w:numId w:val="37"/>
        </w:numPr>
        <w:spacing w:line="360" w:lineRule="auto"/>
        <w:rPr>
          <w:rFonts w:eastAsia="楷体_GB2312"/>
          <w:color w:val="000000"/>
        </w:rPr>
      </w:pPr>
      <w:r>
        <w:rPr>
          <w:rFonts w:eastAsia="楷体_GB2312"/>
          <w:color w:val="000000"/>
          <w:sz w:val="24"/>
        </w:rPr>
        <w:t>因履行信息披露义务而已向公众公布的文件中包含的资料和信息。</w:t>
      </w:r>
    </w:p>
    <w:p w14:paraId="56AF3236">
      <w:pPr>
        <w:numPr>
          <w:ilvl w:val="1"/>
          <w:numId w:val="7"/>
        </w:numPr>
        <w:spacing w:line="360" w:lineRule="auto"/>
        <w:rPr>
          <w:rFonts w:eastAsia="楷体_GB2312"/>
          <w:color w:val="000000"/>
        </w:rPr>
      </w:pPr>
      <w:r>
        <w:rPr>
          <w:rFonts w:eastAsia="楷体_GB2312"/>
          <w:color w:val="000000"/>
          <w:sz w:val="24"/>
        </w:rPr>
        <w:t>第</w:t>
      </w:r>
      <w:r>
        <w:rPr>
          <w:rFonts w:eastAsia="楷体_GB2312"/>
          <w:color w:val="000000"/>
        </w:rPr>
        <w:fldChar w:fldCharType="begin"/>
      </w:r>
      <w:r>
        <w:rPr>
          <w:rFonts w:eastAsia="楷体_GB2312"/>
          <w:color w:val="000000"/>
          <w:sz w:val="24"/>
        </w:rPr>
        <w:instrText xml:space="preserve"> REF _Ref306888644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22.1</w:t>
      </w:r>
      <w:r>
        <w:rPr>
          <w:rFonts w:eastAsia="楷体_GB2312"/>
          <w:color w:val="000000"/>
        </w:rPr>
        <w:fldChar w:fldCharType="end"/>
      </w:r>
      <w:r>
        <w:rPr>
          <w:rFonts w:eastAsia="楷体_GB2312"/>
          <w:color w:val="000000"/>
          <w:sz w:val="24"/>
        </w:rPr>
        <w:t>款的约定不适用于一方的以下信息披露：</w:t>
      </w:r>
    </w:p>
    <w:p w14:paraId="1A2638E8">
      <w:pPr>
        <w:numPr>
          <w:ilvl w:val="0"/>
          <w:numId w:val="38"/>
        </w:numPr>
        <w:spacing w:line="360" w:lineRule="auto"/>
        <w:rPr>
          <w:rFonts w:eastAsia="楷体_GB2312"/>
          <w:color w:val="000000"/>
          <w:sz w:val="24"/>
        </w:rPr>
      </w:pPr>
      <w:r>
        <w:rPr>
          <w:rFonts w:eastAsia="楷体_GB2312"/>
          <w:color w:val="000000"/>
          <w:sz w:val="24"/>
        </w:rPr>
        <w:t>该方根据任何应适用的</w:t>
      </w:r>
      <w:r>
        <w:rPr>
          <w:rFonts w:eastAsia="楷体_GB2312"/>
          <w:bCs/>
          <w:color w:val="000000"/>
          <w:sz w:val="24"/>
        </w:rPr>
        <w:t>“</w:t>
      </w:r>
      <w:r>
        <w:rPr>
          <w:rFonts w:eastAsia="楷体_GB2312"/>
          <w:color w:val="000000"/>
          <w:sz w:val="24"/>
        </w:rPr>
        <w:t>中国”“法律”、有管辖权的“政府机构”、监管机构、税收主管机关或相关交易市场管理机构的指示或要求（无论是否具有法律强制力）而披露的信息；</w:t>
      </w:r>
    </w:p>
    <w:p w14:paraId="4761D65A">
      <w:pPr>
        <w:numPr>
          <w:ilvl w:val="0"/>
          <w:numId w:val="38"/>
        </w:numPr>
        <w:spacing w:line="360" w:lineRule="auto"/>
        <w:rPr>
          <w:rFonts w:eastAsia="楷体_GB2312"/>
          <w:color w:val="000000"/>
          <w:sz w:val="24"/>
        </w:rPr>
      </w:pPr>
      <w:r>
        <w:rPr>
          <w:rFonts w:eastAsia="楷体_GB2312"/>
          <w:color w:val="000000"/>
          <w:sz w:val="24"/>
        </w:rPr>
        <w:t>该方为行使、维护或强制执行其在“交易文件”项下的任何权利或为履行其在“交易文件”项下的任何义务，而仅向为上述目的需要获知相关信息的人披露的信息；</w:t>
      </w:r>
    </w:p>
    <w:p w14:paraId="0F690BC5">
      <w:pPr>
        <w:numPr>
          <w:ilvl w:val="0"/>
          <w:numId w:val="38"/>
        </w:numPr>
        <w:spacing w:line="360" w:lineRule="auto"/>
        <w:rPr>
          <w:rFonts w:eastAsia="楷体_GB2312"/>
          <w:color w:val="000000"/>
          <w:sz w:val="24"/>
        </w:rPr>
      </w:pPr>
      <w:r>
        <w:rPr>
          <w:rFonts w:eastAsia="楷体_GB2312"/>
          <w:color w:val="000000"/>
          <w:sz w:val="24"/>
        </w:rPr>
        <w:t>该方向必须获知相关信息以履行其在“交易文件”项下义务的任何主体披露的信息；</w:t>
      </w:r>
    </w:p>
    <w:p w14:paraId="4BF54C92">
      <w:pPr>
        <w:numPr>
          <w:ilvl w:val="0"/>
          <w:numId w:val="38"/>
        </w:numPr>
        <w:spacing w:line="360" w:lineRule="auto"/>
        <w:rPr>
          <w:rFonts w:eastAsia="楷体_GB2312"/>
          <w:color w:val="000000"/>
          <w:sz w:val="24"/>
        </w:rPr>
      </w:pPr>
      <w:r>
        <w:rPr>
          <w:rFonts w:eastAsia="楷体_GB2312"/>
          <w:color w:val="000000"/>
          <w:sz w:val="24"/>
        </w:rPr>
        <w:t>该方向已签署保密协议的中介服务机构披露的必要信息；</w:t>
      </w:r>
    </w:p>
    <w:p w14:paraId="1C876C3C">
      <w:pPr>
        <w:numPr>
          <w:ilvl w:val="0"/>
          <w:numId w:val="38"/>
        </w:numPr>
        <w:spacing w:line="360" w:lineRule="auto"/>
        <w:rPr>
          <w:rFonts w:eastAsia="楷体_GB2312"/>
          <w:color w:val="000000"/>
          <w:sz w:val="24"/>
        </w:rPr>
      </w:pPr>
      <w:r>
        <w:rPr>
          <w:rFonts w:eastAsia="楷体_GB2312"/>
          <w:color w:val="000000"/>
          <w:sz w:val="24"/>
        </w:rPr>
        <w:t>经与保密信息有关的各方同意而披露的信息；</w:t>
      </w:r>
    </w:p>
    <w:p w14:paraId="1250028E">
      <w:pPr>
        <w:numPr>
          <w:ilvl w:val="0"/>
          <w:numId w:val="38"/>
        </w:numPr>
        <w:spacing w:line="360" w:lineRule="auto"/>
        <w:rPr>
          <w:rFonts w:eastAsia="楷体_GB2312"/>
          <w:b/>
          <w:color w:val="000000"/>
          <w:sz w:val="24"/>
        </w:rPr>
      </w:pPr>
      <w:r>
        <w:rPr>
          <w:rFonts w:eastAsia="楷体_GB2312"/>
          <w:color w:val="000000"/>
          <w:sz w:val="24"/>
        </w:rPr>
        <w:t>应“评级机构”或“资产支持证券持有人”的要求，向其或与其签署保密协议的中介服务机构披露的信息（涉及“借款人”、“担保人”（如有）的个人信息除外）。</w:t>
      </w:r>
      <w:bookmarkEnd w:id="1640"/>
      <w:bookmarkEnd w:id="1641"/>
      <w:bookmarkEnd w:id="1642"/>
      <w:bookmarkStart w:id="1643" w:name="_Toc207007319"/>
    </w:p>
    <w:p w14:paraId="227EC360">
      <w:pPr>
        <w:numPr>
          <w:ilvl w:val="1"/>
          <w:numId w:val="7"/>
        </w:numPr>
        <w:spacing w:line="360" w:lineRule="auto"/>
        <w:rPr>
          <w:rFonts w:eastAsia="楷体_GB2312"/>
          <w:b/>
          <w:color w:val="000000"/>
          <w:sz w:val="24"/>
        </w:rPr>
      </w:pPr>
      <w:r>
        <w:rPr>
          <w:rFonts w:eastAsia="楷体_GB2312"/>
          <w:color w:val="000000"/>
          <w:sz w:val="24"/>
        </w:rPr>
        <w:t>本第</w:t>
      </w:r>
      <w:r>
        <w:rPr>
          <w:rFonts w:eastAsia="楷体_GB2312"/>
          <w:color w:val="000000"/>
        </w:rPr>
        <w:fldChar w:fldCharType="begin"/>
      </w:r>
      <w:r>
        <w:rPr>
          <w:rFonts w:eastAsia="楷体_GB2312"/>
          <w:color w:val="000000"/>
          <w:sz w:val="24"/>
        </w:rPr>
        <w:instrText xml:space="preserve"> REF _Ref347325014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22</w:t>
      </w:r>
      <w:r>
        <w:rPr>
          <w:rFonts w:eastAsia="楷体_GB2312"/>
          <w:color w:val="000000"/>
        </w:rPr>
        <w:fldChar w:fldCharType="end"/>
      </w:r>
      <w:r>
        <w:rPr>
          <w:rFonts w:eastAsia="楷体_GB2312"/>
          <w:color w:val="000000"/>
          <w:sz w:val="24"/>
        </w:rPr>
        <w:t>条的约定在本合同终止后仍然有效。</w:t>
      </w:r>
    </w:p>
    <w:bookmarkEnd w:id="1643"/>
    <w:p w14:paraId="7419FFC8">
      <w:pPr>
        <w:numPr>
          <w:ilvl w:val="0"/>
          <w:numId w:val="7"/>
        </w:numPr>
        <w:spacing w:line="360" w:lineRule="auto"/>
        <w:outlineLvl w:val="0"/>
        <w:rPr>
          <w:rFonts w:eastAsia="楷体_GB2312"/>
          <w:b/>
          <w:color w:val="000000"/>
          <w:sz w:val="24"/>
        </w:rPr>
      </w:pPr>
      <w:bookmarkStart w:id="1644" w:name="_Toc219654293"/>
      <w:bookmarkEnd w:id="1644"/>
      <w:bookmarkStart w:id="1645" w:name="_Toc219654364"/>
      <w:bookmarkEnd w:id="1645"/>
      <w:bookmarkStart w:id="1646" w:name="_Toc219710690"/>
      <w:bookmarkStart w:id="1647" w:name="_Toc225538171"/>
      <w:r>
        <w:rPr>
          <w:rFonts w:eastAsia="楷体_GB2312"/>
          <w:b/>
          <w:color w:val="000000"/>
          <w:sz w:val="24"/>
        </w:rPr>
        <w:t>不可抗力</w:t>
      </w:r>
      <w:bookmarkEnd w:id="1646"/>
      <w:bookmarkEnd w:id="1647"/>
    </w:p>
    <w:p w14:paraId="2476878E">
      <w:pPr>
        <w:numPr>
          <w:ilvl w:val="1"/>
          <w:numId w:val="7"/>
        </w:numPr>
        <w:spacing w:line="360" w:lineRule="auto"/>
        <w:rPr>
          <w:rFonts w:eastAsia="楷体_GB2312"/>
          <w:b/>
          <w:color w:val="000000"/>
          <w:sz w:val="24"/>
        </w:rPr>
      </w:pPr>
      <w:r>
        <w:rPr>
          <w:rFonts w:eastAsia="楷体_GB2312"/>
          <w:color w:val="000000"/>
          <w:sz w:val="24"/>
        </w:rPr>
        <w:t>不可抗力事件是指本合同一方不能合理控制、不可预见或即使预见亦无法避免的事件，该事件妨碍、影响或延误任何一方根据本合同履行其全部或部分义务。该事件包括但不限于地震、台风、洪水、火灾、瘟疫、其他天灾、战争、政变、骚乱、罢工或其他类似事件，以及新法规或国家政策颁布或对原法规或国家政策的修改等因素。</w:t>
      </w:r>
    </w:p>
    <w:p w14:paraId="723B1BA3">
      <w:pPr>
        <w:numPr>
          <w:ilvl w:val="1"/>
          <w:numId w:val="7"/>
        </w:numPr>
        <w:spacing w:line="360" w:lineRule="auto"/>
        <w:rPr>
          <w:rFonts w:eastAsia="楷体_GB2312"/>
          <w:b/>
          <w:color w:val="000000"/>
          <w:sz w:val="24"/>
        </w:rPr>
      </w:pPr>
      <w:r>
        <w:rPr>
          <w:rFonts w:eastAsia="楷体_GB2312"/>
          <w:color w:val="000000"/>
          <w:sz w:val="24"/>
        </w:rPr>
        <w:t>如发生不可抗力事件，则遭受该事件的一方应立即用可能的快捷方式通知对方，并在【】日内提供证明文件说明有关事件的细节和不能履行或部分不能履行或需延迟履行本合同的原因。</w:t>
      </w:r>
      <w:bookmarkStart w:id="1648" w:name="_Hlk38316226"/>
      <w:r>
        <w:rPr>
          <w:rFonts w:eastAsia="楷体_GB2312"/>
          <w:color w:val="000000"/>
          <w:sz w:val="24"/>
        </w:rPr>
        <w:t>如</w:t>
      </w:r>
      <w:bookmarkStart w:id="1649" w:name="_Hlk38316830"/>
      <w:r>
        <w:rPr>
          <w:rFonts w:eastAsia="楷体_GB2312"/>
          <w:color w:val="000000"/>
          <w:sz w:val="24"/>
        </w:rPr>
        <w:t>遭受不可抗力事件影响的一方在【】日内仍不能消除不可抗力事件所造成的影响</w:t>
      </w:r>
      <w:bookmarkEnd w:id="1648"/>
      <w:bookmarkEnd w:id="1649"/>
      <w:r>
        <w:rPr>
          <w:rFonts w:eastAsia="楷体_GB2312"/>
          <w:color w:val="000000"/>
          <w:sz w:val="24"/>
        </w:rPr>
        <w:t>，本合同双方应在协商一致的基础上决定是否延期履行本合同或终止本合同，并达成书面协议。</w:t>
      </w:r>
    </w:p>
    <w:p w14:paraId="60A0403D">
      <w:pPr>
        <w:numPr>
          <w:ilvl w:val="1"/>
          <w:numId w:val="7"/>
        </w:numPr>
        <w:spacing w:line="360" w:lineRule="auto"/>
        <w:rPr>
          <w:rFonts w:eastAsia="楷体_GB2312"/>
          <w:b/>
          <w:color w:val="000000"/>
        </w:rPr>
      </w:pPr>
      <w:r>
        <w:rPr>
          <w:rFonts w:eastAsia="楷体_GB2312"/>
          <w:color w:val="000000"/>
          <w:sz w:val="24"/>
        </w:rPr>
        <w:t>如果发生不可抗力事件致使“委托人”或“受托人”：为本合同项下交易提供服务的通信或计算机设备无法工作；为本合同项下交易提供服务的相关设备或上述设备无法操作；或不能履行或迟延履行本合同项下之各项义务；则“委托人”或“受托人”对无法履行或迟延履行其在本合同项下的义务不承担任何责任，但“委托人”或“受托人”迟延履行其在本合同项下义务后发生不可抗力的，“委托人”或“受托人”对无法履行或迟延履行其在本合同项下的义务不能免除责任。“委托人”或“受托人”在不可抗力发生后，应尽最大努力减少由此可能造成的损失。</w:t>
      </w:r>
    </w:p>
    <w:bookmarkEnd w:id="1627"/>
    <w:p w14:paraId="7ECD4018">
      <w:pPr>
        <w:numPr>
          <w:ilvl w:val="0"/>
          <w:numId w:val="7"/>
        </w:numPr>
        <w:spacing w:line="360" w:lineRule="auto"/>
        <w:outlineLvl w:val="0"/>
        <w:rPr>
          <w:rFonts w:eastAsia="楷体_GB2312"/>
        </w:rPr>
      </w:pPr>
      <w:bookmarkStart w:id="1650" w:name="_Toc106417456"/>
      <w:bookmarkEnd w:id="1650"/>
      <w:bookmarkStart w:id="1651" w:name="_DV_M582"/>
      <w:bookmarkEnd w:id="1651"/>
      <w:bookmarkStart w:id="1652" w:name="_DV_M584"/>
      <w:bookmarkEnd w:id="1652"/>
      <w:bookmarkStart w:id="1653" w:name="_Toc120276605"/>
      <w:bookmarkEnd w:id="1653"/>
      <w:bookmarkStart w:id="1654" w:name="_DV_M580"/>
      <w:bookmarkEnd w:id="1654"/>
      <w:bookmarkStart w:id="1655" w:name="_Toc150895755"/>
      <w:bookmarkEnd w:id="1655"/>
      <w:bookmarkStart w:id="1656" w:name="_Toc120277284"/>
      <w:bookmarkEnd w:id="1656"/>
      <w:bookmarkStart w:id="1657" w:name="_DV_M589"/>
      <w:bookmarkEnd w:id="1657"/>
      <w:bookmarkStart w:id="1658" w:name="_Toc120277374"/>
      <w:bookmarkEnd w:id="1658"/>
      <w:bookmarkStart w:id="1659" w:name="_DV_M586"/>
      <w:bookmarkEnd w:id="1659"/>
      <w:bookmarkStart w:id="1660" w:name="_Toc112069007"/>
      <w:bookmarkEnd w:id="1660"/>
      <w:bookmarkStart w:id="1661" w:name="_DV_M583"/>
      <w:bookmarkEnd w:id="1661"/>
      <w:bookmarkStart w:id="1662" w:name="_Toc120276606"/>
      <w:bookmarkEnd w:id="1662"/>
      <w:bookmarkStart w:id="1663" w:name="_Toc120277285"/>
      <w:bookmarkEnd w:id="1663"/>
      <w:bookmarkStart w:id="1664" w:name="_DV_M587"/>
      <w:bookmarkEnd w:id="1664"/>
      <w:bookmarkStart w:id="1665" w:name="_Toc219654366"/>
      <w:bookmarkEnd w:id="1665"/>
      <w:bookmarkStart w:id="1666" w:name="_Toc120277373"/>
      <w:bookmarkEnd w:id="1666"/>
      <w:bookmarkStart w:id="1667" w:name="_Toc219654295"/>
      <w:bookmarkEnd w:id="1667"/>
      <w:bookmarkStart w:id="1668" w:name="_Toc106417457"/>
      <w:bookmarkEnd w:id="1668"/>
      <w:bookmarkStart w:id="1669" w:name="_DV_M585"/>
      <w:bookmarkEnd w:id="1669"/>
      <w:bookmarkStart w:id="1670" w:name="_DV_M588"/>
      <w:bookmarkEnd w:id="1670"/>
      <w:bookmarkStart w:id="1671" w:name="_DV_M581"/>
      <w:bookmarkEnd w:id="1671"/>
      <w:bookmarkStart w:id="1672" w:name="_Toc112069008"/>
      <w:bookmarkEnd w:id="1672"/>
      <w:bookmarkStart w:id="1673" w:name="_Toc120277538"/>
      <w:bookmarkEnd w:id="1673"/>
      <w:bookmarkStart w:id="1674" w:name="_Toc120277539"/>
      <w:bookmarkEnd w:id="1674"/>
      <w:bookmarkStart w:id="1675" w:name="_DV_M590"/>
      <w:bookmarkEnd w:id="1675"/>
      <w:bookmarkStart w:id="1676" w:name="_Toc120275202"/>
      <w:bookmarkEnd w:id="1676"/>
      <w:bookmarkStart w:id="1677" w:name="_Toc120275203"/>
      <w:bookmarkEnd w:id="1677"/>
      <w:bookmarkStart w:id="1678" w:name="_Toc219710691"/>
      <w:bookmarkStart w:id="1679" w:name="_Toc225538172"/>
      <w:bookmarkStart w:id="1680" w:name="_Toc92612965"/>
      <w:r>
        <w:rPr>
          <w:rFonts w:eastAsia="楷体_GB2312"/>
          <w:b/>
          <w:color w:val="000000"/>
          <w:sz w:val="24"/>
        </w:rPr>
        <w:t>法律适用和争议解决</w:t>
      </w:r>
      <w:bookmarkEnd w:id="1678"/>
      <w:bookmarkEnd w:id="1679"/>
    </w:p>
    <w:bookmarkEnd w:id="1680"/>
    <w:p w14:paraId="2320D40E">
      <w:pPr>
        <w:numPr>
          <w:ilvl w:val="1"/>
          <w:numId w:val="7"/>
        </w:numPr>
        <w:spacing w:line="360" w:lineRule="auto"/>
        <w:rPr>
          <w:rFonts w:eastAsia="楷体_GB2312"/>
          <w:color w:val="000000"/>
          <w:sz w:val="24"/>
        </w:rPr>
      </w:pPr>
      <w:r>
        <w:rPr>
          <w:rFonts w:eastAsia="楷体_GB2312"/>
          <w:color w:val="000000"/>
          <w:sz w:val="24"/>
        </w:rPr>
        <w:t>本合同的订立、生效、履行、解释、修改、争议解决和终止等事项适用</w:t>
      </w:r>
      <w:r>
        <w:rPr>
          <w:rFonts w:eastAsia="楷体_GB2312"/>
          <w:bCs/>
          <w:color w:val="000000"/>
          <w:sz w:val="24"/>
        </w:rPr>
        <w:t>“</w:t>
      </w:r>
      <w:r>
        <w:rPr>
          <w:rFonts w:eastAsia="楷体_GB2312"/>
          <w:color w:val="000000"/>
          <w:sz w:val="24"/>
        </w:rPr>
        <w:t>中国”“法律”。</w:t>
      </w:r>
    </w:p>
    <w:p w14:paraId="3D73CFF6">
      <w:pPr>
        <w:numPr>
          <w:ilvl w:val="1"/>
          <w:numId w:val="7"/>
        </w:numPr>
        <w:spacing w:line="360" w:lineRule="auto"/>
        <w:rPr>
          <w:rFonts w:eastAsia="楷体_GB2312"/>
          <w:color w:val="000000"/>
          <w:sz w:val="24"/>
        </w:rPr>
      </w:pPr>
      <w:r>
        <w:rPr>
          <w:rFonts w:eastAsia="楷体_GB2312"/>
          <w:color w:val="000000"/>
          <w:sz w:val="24"/>
        </w:rPr>
        <w:t>对于“委托人”和“受托人”在履行本合同中发生的争议，由双方协商解决。如争议在本合同一方向对方发出通知后【】日内仍未获解决，则任何一方均有权向【】有管辖权的人民法院提起诉讼。除非生效判决另有规定，双方为诉讼而实际支付的费用（包括但不限于诉讼费和合理的律师费）由败诉方承担。</w:t>
      </w:r>
    </w:p>
    <w:p w14:paraId="1EFDF705">
      <w:pPr>
        <w:spacing w:line="360" w:lineRule="auto"/>
        <w:ind w:left="992"/>
        <w:rPr>
          <w:rFonts w:eastAsia="楷体_GB2312"/>
          <w:b/>
          <w:i/>
          <w:iCs/>
          <w:color w:val="FF0000"/>
          <w:sz w:val="24"/>
        </w:rPr>
      </w:pPr>
      <w:r>
        <w:rPr>
          <w:rFonts w:eastAsia="楷体_GB2312"/>
          <w:b/>
          <w:i/>
          <w:iCs/>
          <w:color w:val="FF0000"/>
          <w:sz w:val="24"/>
        </w:rPr>
        <w:t>【注：争议解决方式以及管辖/仲裁地可调整。】</w:t>
      </w:r>
    </w:p>
    <w:p w14:paraId="0FFA4ED0">
      <w:pPr>
        <w:numPr>
          <w:ilvl w:val="1"/>
          <w:numId w:val="7"/>
        </w:numPr>
        <w:spacing w:line="360" w:lineRule="auto"/>
        <w:rPr>
          <w:rFonts w:eastAsia="楷体_GB2312"/>
          <w:color w:val="000000"/>
          <w:sz w:val="24"/>
        </w:rPr>
      </w:pPr>
      <w:r>
        <w:rPr>
          <w:rFonts w:eastAsia="楷体_GB2312"/>
          <w:color w:val="000000"/>
          <w:sz w:val="24"/>
        </w:rPr>
        <w:t>在诉讼过程中，除双方有争议正在进行诉讼的事项以外，双方应继续履行其他部分的义务。</w:t>
      </w:r>
    </w:p>
    <w:p w14:paraId="10AE4CCB">
      <w:pPr>
        <w:numPr>
          <w:ilvl w:val="0"/>
          <w:numId w:val="7"/>
        </w:numPr>
        <w:spacing w:line="360" w:lineRule="auto"/>
        <w:outlineLvl w:val="0"/>
        <w:rPr>
          <w:rFonts w:eastAsia="楷体_GB2312"/>
        </w:rPr>
      </w:pPr>
      <w:bookmarkStart w:id="1681" w:name="_Toc219654297"/>
      <w:bookmarkEnd w:id="1681"/>
      <w:bookmarkStart w:id="1682" w:name="_Toc219654368"/>
      <w:bookmarkEnd w:id="1682"/>
      <w:bookmarkStart w:id="1683" w:name="_Toc219710692"/>
      <w:bookmarkStart w:id="1684" w:name="_Toc225538173"/>
      <w:r>
        <w:rPr>
          <w:rFonts w:eastAsia="楷体_GB2312"/>
          <w:b/>
          <w:color w:val="000000"/>
          <w:sz w:val="24"/>
        </w:rPr>
        <w:t>有限追索和诉讼禁止</w:t>
      </w:r>
      <w:bookmarkEnd w:id="1683"/>
      <w:bookmarkEnd w:id="1684"/>
    </w:p>
    <w:p w14:paraId="09C4C950">
      <w:pPr>
        <w:spacing w:line="360" w:lineRule="auto"/>
        <w:ind w:left="424" w:leftChars="202"/>
        <w:rPr>
          <w:rFonts w:eastAsia="楷体_GB2312"/>
          <w:color w:val="000000"/>
          <w:sz w:val="24"/>
        </w:rPr>
      </w:pPr>
      <w:r>
        <w:rPr>
          <w:rFonts w:eastAsia="楷体_GB2312"/>
          <w:color w:val="000000"/>
          <w:sz w:val="24"/>
        </w:rPr>
        <w:t>本合同双方承认且“受托人”代表“资产支持证券持有人”同意，“受托人”对“资产支持证券”的本金和收益不作任何保证或担保，“资产支持证券”仅代表“信托受益权”的相应份额，不构成“受托人”的负债，除针对“受托人”提起的因其自身过失、欺诈、故意的不当行为或违反“交易文件”项下的义务而提起的诉讼或仲裁，针对“信托”、“受托人”、“信托”的义务以及“受托人”在“资产支持证券”项下的义务的追索权，只限于“信托财产”以及按照“《信托合同》”确定的顺序不时可供使用的金额。对于根据本合同运用“信托财产”及/或其实现的收益后仍未满足的“资产支持证券”项下的金额，“资产支持证券持有人”针对“信托”、“受托人”或“委托人”不享有索赔或追索权，在这种情况下，“资产支持证券”项下的权利应被放弃或消灭。本合同双方进一步同意且“受托人”代表“资产支持证券持有人”承诺，在“信托期限”内，任何一方不得为终止“信托”的目的而提起任何诉讼或仲裁程序；为避免疑问，本条不限制任何一方因其他方的欺诈、违约、故意的不当行为或疏忽所遭受的损失而针对该方提起的诉讼或仲裁程序。</w:t>
      </w:r>
    </w:p>
    <w:p w14:paraId="5D6BB310">
      <w:pPr>
        <w:numPr>
          <w:ilvl w:val="0"/>
          <w:numId w:val="7"/>
        </w:numPr>
        <w:spacing w:line="360" w:lineRule="auto"/>
        <w:outlineLvl w:val="0"/>
        <w:rPr>
          <w:rFonts w:eastAsia="楷体_GB2312"/>
          <w:b/>
          <w:color w:val="000000"/>
          <w:sz w:val="24"/>
        </w:rPr>
      </w:pPr>
      <w:bookmarkStart w:id="1685" w:name="_Toc225538174"/>
      <w:bookmarkStart w:id="1686" w:name="_Toc219710693"/>
      <w:bookmarkStart w:id="1687" w:name="_Toc146102907"/>
      <w:bookmarkStart w:id="1688" w:name="_Toc199759413"/>
      <w:bookmarkStart w:id="1689" w:name="_Toc173872461"/>
      <w:r>
        <w:rPr>
          <w:rFonts w:eastAsia="楷体_GB2312"/>
          <w:b/>
          <w:color w:val="000000"/>
          <w:sz w:val="24"/>
        </w:rPr>
        <w:t>合同的转让</w:t>
      </w:r>
      <w:bookmarkEnd w:id="1685"/>
      <w:bookmarkEnd w:id="1686"/>
      <w:bookmarkEnd w:id="1687"/>
      <w:bookmarkEnd w:id="1688"/>
      <w:bookmarkEnd w:id="1689"/>
    </w:p>
    <w:p w14:paraId="07C16513">
      <w:pPr>
        <w:numPr>
          <w:ilvl w:val="1"/>
          <w:numId w:val="7"/>
        </w:numPr>
        <w:spacing w:line="360" w:lineRule="auto"/>
        <w:rPr>
          <w:rFonts w:eastAsia="楷体_GB2312"/>
          <w:color w:val="000000"/>
          <w:sz w:val="24"/>
        </w:rPr>
      </w:pPr>
      <w:bookmarkStart w:id="1690" w:name="_DV_M327"/>
      <w:bookmarkEnd w:id="1690"/>
      <w:r>
        <w:rPr>
          <w:rFonts w:eastAsia="楷体_GB2312"/>
          <w:color w:val="000000"/>
          <w:sz w:val="24"/>
        </w:rPr>
        <w:t>除非本合同另有约定，未经本合同双方事先书面同意并事先通知“评级机构”，任何一方不得转让其在本合同项下的权利或义务，或在前述权利或义务上向第三方设定质押或其他担保。</w:t>
      </w:r>
    </w:p>
    <w:p w14:paraId="214F51D6">
      <w:pPr>
        <w:numPr>
          <w:ilvl w:val="1"/>
          <w:numId w:val="7"/>
        </w:numPr>
        <w:spacing w:line="360" w:lineRule="auto"/>
        <w:rPr>
          <w:rFonts w:eastAsia="楷体_GB2312"/>
          <w:color w:val="000000"/>
          <w:sz w:val="24"/>
        </w:rPr>
      </w:pPr>
      <w:bookmarkStart w:id="1691" w:name="_DV_M328"/>
      <w:bookmarkEnd w:id="1691"/>
      <w:bookmarkStart w:id="1692" w:name="_Ref111374751"/>
      <w:r>
        <w:rPr>
          <w:rFonts w:eastAsia="楷体_GB2312"/>
          <w:color w:val="000000"/>
          <w:sz w:val="24"/>
        </w:rPr>
        <w:t>本合同对双方及其继任者、允许的受让人均具有约束力。</w:t>
      </w:r>
    </w:p>
    <w:p w14:paraId="7B03409A">
      <w:pPr>
        <w:numPr>
          <w:ilvl w:val="1"/>
          <w:numId w:val="7"/>
        </w:numPr>
        <w:spacing w:line="360" w:lineRule="auto"/>
        <w:rPr>
          <w:rFonts w:eastAsia="楷体_GB2312"/>
          <w:color w:val="000000"/>
          <w:sz w:val="24"/>
        </w:rPr>
      </w:pPr>
      <w:bookmarkStart w:id="1693" w:name="_DV_M329"/>
      <w:bookmarkEnd w:id="1693"/>
      <w:r>
        <w:rPr>
          <w:rFonts w:eastAsia="楷体_GB2312"/>
          <w:color w:val="000000"/>
          <w:sz w:val="24"/>
        </w:rPr>
        <w:t>如“受托人”根据本合同的约定被更换，则其继任者将承继被更换“受托人”在本合同项下的权利义务。</w:t>
      </w:r>
      <w:bookmarkEnd w:id="1692"/>
    </w:p>
    <w:p w14:paraId="46D2472F">
      <w:pPr>
        <w:numPr>
          <w:ilvl w:val="0"/>
          <w:numId w:val="7"/>
        </w:numPr>
        <w:spacing w:line="360" w:lineRule="auto"/>
        <w:outlineLvl w:val="0"/>
        <w:rPr>
          <w:rFonts w:eastAsia="楷体_GB2312"/>
          <w:b/>
          <w:color w:val="000000"/>
          <w:sz w:val="24"/>
        </w:rPr>
      </w:pPr>
      <w:bookmarkStart w:id="1694" w:name="_Toc225538175"/>
      <w:bookmarkStart w:id="1695" w:name="_Toc201569473"/>
      <w:bookmarkStart w:id="1696" w:name="_Toc219710694"/>
      <w:bookmarkStart w:id="1697" w:name="_Toc110153484"/>
      <w:bookmarkStart w:id="1698" w:name="_Toc111281858"/>
      <w:r>
        <w:rPr>
          <w:rFonts w:eastAsia="楷体_GB2312"/>
          <w:b/>
          <w:color w:val="000000"/>
          <w:sz w:val="24"/>
        </w:rPr>
        <w:t>通知</w:t>
      </w:r>
      <w:bookmarkStart w:id="1699" w:name="_Toc92612966"/>
      <w:r>
        <w:rPr>
          <w:rFonts w:eastAsia="楷体_GB2312"/>
          <w:b/>
          <w:color w:val="000000"/>
          <w:sz w:val="24"/>
        </w:rPr>
        <w:t>和送达</w:t>
      </w:r>
      <w:bookmarkEnd w:id="1694"/>
      <w:bookmarkEnd w:id="1695"/>
      <w:bookmarkEnd w:id="1696"/>
      <w:bookmarkEnd w:id="1697"/>
      <w:bookmarkEnd w:id="1698"/>
    </w:p>
    <w:p w14:paraId="0C01BE01">
      <w:pPr>
        <w:numPr>
          <w:ilvl w:val="1"/>
          <w:numId w:val="7"/>
        </w:numPr>
        <w:spacing w:line="360" w:lineRule="auto"/>
        <w:rPr>
          <w:rFonts w:eastAsia="楷体_GB2312"/>
          <w:color w:val="000000"/>
          <w:sz w:val="24"/>
        </w:rPr>
      </w:pPr>
      <w:r>
        <w:rPr>
          <w:rFonts w:eastAsia="楷体_GB2312"/>
          <w:color w:val="000000"/>
          <w:sz w:val="24"/>
        </w:rPr>
        <w:t>本合同项下对其他方（包括“评级机构”）的任何通知均应以书面形式作出，以专人送达、挂号信件、特快专递、传真或电子邮件方式递送，并且如果本合同另有要求，每一份通知均应抄送给其他各相关方。</w:t>
      </w:r>
    </w:p>
    <w:p w14:paraId="39E2DD5E">
      <w:pPr>
        <w:numPr>
          <w:ilvl w:val="1"/>
          <w:numId w:val="7"/>
        </w:numPr>
        <w:spacing w:line="360" w:lineRule="auto"/>
        <w:rPr>
          <w:rFonts w:eastAsia="楷体_GB2312"/>
          <w:color w:val="000000"/>
          <w:sz w:val="24"/>
        </w:rPr>
      </w:pPr>
      <w:bookmarkStart w:id="1700" w:name="_DV_M332"/>
      <w:bookmarkEnd w:id="1700"/>
      <w:r>
        <w:rPr>
          <w:rFonts w:eastAsia="楷体_GB2312"/>
          <w:color w:val="000000"/>
          <w:sz w:val="24"/>
        </w:rPr>
        <w:t>通知在下列日期视为送达被通知方：</w:t>
      </w:r>
    </w:p>
    <w:p w14:paraId="4F53310B">
      <w:pPr>
        <w:numPr>
          <w:ilvl w:val="0"/>
          <w:numId w:val="39"/>
        </w:numPr>
        <w:spacing w:line="360" w:lineRule="auto"/>
        <w:rPr>
          <w:rFonts w:eastAsia="楷体_GB2312"/>
          <w:color w:val="000000"/>
          <w:sz w:val="24"/>
        </w:rPr>
      </w:pPr>
      <w:bookmarkStart w:id="1701" w:name="_DV_M333"/>
      <w:bookmarkEnd w:id="1701"/>
      <w:r>
        <w:rPr>
          <w:rFonts w:eastAsia="楷体_GB2312"/>
          <w:color w:val="000000"/>
          <w:sz w:val="24"/>
        </w:rPr>
        <w:t>专人送达：通知方取得的被通知方签收单所示日；</w:t>
      </w:r>
    </w:p>
    <w:p w14:paraId="458D614A">
      <w:pPr>
        <w:numPr>
          <w:ilvl w:val="0"/>
          <w:numId w:val="39"/>
        </w:numPr>
        <w:spacing w:line="360" w:lineRule="auto"/>
        <w:rPr>
          <w:rFonts w:eastAsia="楷体_GB2312"/>
          <w:color w:val="000000"/>
          <w:sz w:val="24"/>
        </w:rPr>
      </w:pPr>
      <w:bookmarkStart w:id="1702" w:name="_DV_M334"/>
      <w:bookmarkEnd w:id="1702"/>
      <w:r>
        <w:rPr>
          <w:rFonts w:eastAsia="楷体_GB2312"/>
          <w:color w:val="000000"/>
          <w:sz w:val="24"/>
        </w:rPr>
        <w:t>挂号信邮递：发出通知方持有的国内挂号函件收据所示日后第【】日；</w:t>
      </w:r>
    </w:p>
    <w:p w14:paraId="5BDA3C1B">
      <w:pPr>
        <w:numPr>
          <w:ilvl w:val="0"/>
          <w:numId w:val="39"/>
        </w:numPr>
        <w:spacing w:line="360" w:lineRule="auto"/>
        <w:rPr>
          <w:rFonts w:eastAsia="楷体_GB2312"/>
          <w:color w:val="000000"/>
          <w:sz w:val="24"/>
        </w:rPr>
      </w:pPr>
      <w:r>
        <w:rPr>
          <w:rFonts w:eastAsia="楷体_GB2312"/>
          <w:color w:val="000000"/>
          <w:sz w:val="24"/>
        </w:rPr>
        <w:t>特快专递：发出通知方持有的投递凭证所示日后第【】个“工作日”；</w:t>
      </w:r>
    </w:p>
    <w:p w14:paraId="5E40CB0C">
      <w:pPr>
        <w:numPr>
          <w:ilvl w:val="0"/>
          <w:numId w:val="39"/>
        </w:numPr>
        <w:spacing w:line="360" w:lineRule="auto"/>
        <w:rPr>
          <w:rFonts w:eastAsia="楷体_GB2312"/>
          <w:color w:val="000000"/>
          <w:sz w:val="24"/>
        </w:rPr>
      </w:pPr>
      <w:r>
        <w:rPr>
          <w:rFonts w:eastAsia="楷体_GB2312"/>
          <w:color w:val="000000"/>
          <w:sz w:val="24"/>
        </w:rPr>
        <w:t>传真：收到成功发送确认后的第【】个</w:t>
      </w:r>
      <w:r>
        <w:rPr>
          <w:rFonts w:eastAsia="楷体_GB2312"/>
          <w:bCs/>
          <w:color w:val="000000"/>
          <w:sz w:val="24"/>
        </w:rPr>
        <w:t>“</w:t>
      </w:r>
      <w:r>
        <w:rPr>
          <w:rFonts w:eastAsia="楷体_GB2312"/>
          <w:color w:val="000000"/>
          <w:sz w:val="24"/>
        </w:rPr>
        <w:t>工作日</w:t>
      </w:r>
      <w:r>
        <w:rPr>
          <w:rFonts w:eastAsia="楷体_GB2312"/>
          <w:bCs/>
          <w:color w:val="000000"/>
          <w:sz w:val="24"/>
        </w:rPr>
        <w:t>”</w:t>
      </w:r>
      <w:r>
        <w:rPr>
          <w:rFonts w:eastAsia="楷体_GB2312"/>
          <w:color w:val="000000"/>
          <w:sz w:val="24"/>
        </w:rPr>
        <w:t>；</w:t>
      </w:r>
    </w:p>
    <w:p w14:paraId="76BA7322">
      <w:pPr>
        <w:numPr>
          <w:ilvl w:val="0"/>
          <w:numId w:val="39"/>
        </w:numPr>
        <w:spacing w:line="360" w:lineRule="auto"/>
        <w:rPr>
          <w:rFonts w:eastAsia="楷体_GB2312"/>
          <w:color w:val="000000"/>
          <w:sz w:val="24"/>
        </w:rPr>
      </w:pPr>
      <w:r>
        <w:rPr>
          <w:rFonts w:eastAsia="楷体_GB2312"/>
          <w:color w:val="000000"/>
          <w:sz w:val="24"/>
        </w:rPr>
        <w:t>电子邮件：电子邮件到达收件人邮件系统的日期。</w:t>
      </w:r>
    </w:p>
    <w:p w14:paraId="69DFCF24">
      <w:pPr>
        <w:numPr>
          <w:ilvl w:val="1"/>
          <w:numId w:val="7"/>
        </w:numPr>
        <w:spacing w:line="360" w:lineRule="auto"/>
        <w:rPr>
          <w:rFonts w:eastAsia="楷体_GB2312"/>
          <w:b/>
          <w:bCs/>
          <w:color w:val="000000"/>
          <w:sz w:val="24"/>
        </w:rPr>
      </w:pPr>
      <w:r>
        <w:rPr>
          <w:rFonts w:eastAsia="楷体_GB2312"/>
          <w:color w:val="000000"/>
          <w:sz w:val="24"/>
        </w:rPr>
        <w:t>本合同项下的任何通知、报告、抄送给其他方的副本及传递的其他信息，均应按以下联系方式或各方不时根据本条款通知其他方的联系方式发送给相关方：</w:t>
      </w:r>
    </w:p>
    <w:tbl>
      <w:tblPr>
        <w:tblStyle w:val="28"/>
        <w:tblW w:w="8640" w:type="dxa"/>
        <w:tblInd w:w="108" w:type="dxa"/>
        <w:tblLayout w:type="fixed"/>
        <w:tblCellMar>
          <w:top w:w="0" w:type="dxa"/>
          <w:left w:w="108" w:type="dxa"/>
          <w:bottom w:w="0" w:type="dxa"/>
          <w:right w:w="108" w:type="dxa"/>
        </w:tblCellMar>
      </w:tblPr>
      <w:tblGrid>
        <w:gridCol w:w="3097"/>
        <w:gridCol w:w="5543"/>
      </w:tblGrid>
      <w:tr w14:paraId="65F4ECF7">
        <w:tblPrEx>
          <w:tblCellMar>
            <w:top w:w="0" w:type="dxa"/>
            <w:left w:w="108" w:type="dxa"/>
            <w:bottom w:w="0" w:type="dxa"/>
            <w:right w:w="108" w:type="dxa"/>
          </w:tblCellMar>
        </w:tblPrEx>
        <w:tc>
          <w:tcPr>
            <w:tcW w:w="3097" w:type="dxa"/>
            <w:tcBorders>
              <w:top w:val="nil"/>
              <w:left w:val="nil"/>
              <w:bottom w:val="nil"/>
              <w:right w:val="nil"/>
            </w:tcBorders>
          </w:tcPr>
          <w:p w14:paraId="4A1A9894">
            <w:pPr>
              <w:spacing w:line="360" w:lineRule="auto"/>
              <w:rPr>
                <w:rFonts w:eastAsia="楷体_GB2312"/>
                <w:color w:val="000000"/>
              </w:rPr>
            </w:pPr>
            <w:r>
              <w:rPr>
                <w:rFonts w:eastAsia="楷体_GB2312"/>
                <w:color w:val="000000"/>
                <w:sz w:val="24"/>
              </w:rPr>
              <w:t>委托人、贷款服务机构：</w:t>
            </w:r>
          </w:p>
        </w:tc>
        <w:tc>
          <w:tcPr>
            <w:tcW w:w="5543" w:type="dxa"/>
            <w:tcBorders>
              <w:top w:val="nil"/>
              <w:left w:val="nil"/>
              <w:bottom w:val="nil"/>
              <w:right w:val="nil"/>
            </w:tcBorders>
          </w:tcPr>
          <w:p w14:paraId="795C534F">
            <w:pPr>
              <w:spacing w:line="360" w:lineRule="auto"/>
              <w:rPr>
                <w:rFonts w:eastAsia="楷体_GB2312"/>
                <w:color w:val="000000"/>
              </w:rPr>
            </w:pPr>
            <w:r>
              <w:rPr>
                <w:rFonts w:eastAsia="楷体_GB2312"/>
                <w:b/>
                <w:bCs/>
                <w:color w:val="000000"/>
                <w:sz w:val="24"/>
              </w:rPr>
              <w:t>【发起机构全称】</w:t>
            </w:r>
            <w:r>
              <w:rPr>
                <w:rFonts w:eastAsia="楷体_GB2312"/>
                <w:color w:val="000000"/>
                <w:sz w:val="24"/>
              </w:rPr>
              <w:br w:type="textWrapping"/>
            </w:r>
            <w:r>
              <w:rPr>
                <w:rFonts w:eastAsia="楷体_GB2312"/>
                <w:color w:val="000000"/>
                <w:sz w:val="24"/>
              </w:rPr>
              <w:t>地址：【】</w:t>
            </w:r>
            <w:r>
              <w:rPr>
                <w:rFonts w:eastAsia="楷体_GB2312"/>
                <w:color w:val="000000"/>
                <w:sz w:val="24"/>
              </w:rPr>
              <w:br w:type="textWrapping"/>
            </w:r>
            <w:r>
              <w:rPr>
                <w:rFonts w:eastAsia="楷体_GB2312"/>
                <w:color w:val="000000"/>
                <w:sz w:val="24"/>
              </w:rPr>
              <w:t>邮编：【】</w:t>
            </w:r>
            <w:r>
              <w:rPr>
                <w:rFonts w:eastAsia="楷体_GB2312"/>
                <w:color w:val="000000"/>
                <w:sz w:val="24"/>
              </w:rPr>
              <w:br w:type="textWrapping"/>
            </w:r>
            <w:r>
              <w:rPr>
                <w:rFonts w:eastAsia="楷体_GB2312"/>
                <w:color w:val="000000"/>
                <w:sz w:val="24"/>
              </w:rPr>
              <w:t>电话：【】</w:t>
            </w:r>
            <w:r>
              <w:rPr>
                <w:rFonts w:eastAsia="楷体_GB2312"/>
                <w:color w:val="000000"/>
                <w:sz w:val="24"/>
              </w:rPr>
              <w:br w:type="textWrapping"/>
            </w:r>
            <w:r>
              <w:rPr>
                <w:rFonts w:eastAsia="楷体_GB2312"/>
                <w:color w:val="000000"/>
                <w:sz w:val="24"/>
              </w:rPr>
              <w:t>传真：【】</w:t>
            </w:r>
            <w:r>
              <w:rPr>
                <w:rFonts w:eastAsia="楷体_GB2312"/>
                <w:color w:val="000000"/>
                <w:sz w:val="24"/>
                <w:highlight w:val="yellow"/>
              </w:rPr>
              <w:br w:type="textWrapping"/>
            </w:r>
            <w:r>
              <w:rPr>
                <w:rFonts w:eastAsia="楷体_GB2312"/>
                <w:color w:val="000000"/>
                <w:sz w:val="24"/>
              </w:rPr>
              <w:t>电子邮件：【】</w:t>
            </w:r>
            <w:r>
              <w:rPr>
                <w:rFonts w:eastAsia="楷体_GB2312"/>
                <w:color w:val="000000"/>
                <w:sz w:val="24"/>
              </w:rPr>
              <w:br w:type="textWrapping"/>
            </w:r>
            <w:r>
              <w:rPr>
                <w:rFonts w:eastAsia="楷体_GB2312"/>
                <w:color w:val="000000"/>
                <w:sz w:val="24"/>
              </w:rPr>
              <w:t>联系人：【】</w:t>
            </w:r>
          </w:p>
        </w:tc>
      </w:tr>
      <w:tr w14:paraId="00F28EE4">
        <w:tblPrEx>
          <w:tblCellMar>
            <w:top w:w="0" w:type="dxa"/>
            <w:left w:w="108" w:type="dxa"/>
            <w:bottom w:w="0" w:type="dxa"/>
            <w:right w:w="108" w:type="dxa"/>
          </w:tblCellMar>
        </w:tblPrEx>
        <w:tc>
          <w:tcPr>
            <w:tcW w:w="3097" w:type="dxa"/>
            <w:tcBorders>
              <w:top w:val="nil"/>
              <w:left w:val="nil"/>
              <w:bottom w:val="nil"/>
              <w:right w:val="nil"/>
            </w:tcBorders>
          </w:tcPr>
          <w:p w14:paraId="0033B5E6">
            <w:pPr>
              <w:spacing w:line="360" w:lineRule="auto"/>
              <w:rPr>
                <w:rFonts w:eastAsia="楷体_GB2312"/>
                <w:color w:val="000000"/>
              </w:rPr>
            </w:pPr>
            <w:r>
              <w:rPr>
                <w:rFonts w:eastAsia="楷体_GB2312"/>
                <w:color w:val="000000"/>
                <w:sz w:val="24"/>
              </w:rPr>
              <w:t>受托人：</w:t>
            </w:r>
          </w:p>
        </w:tc>
        <w:tc>
          <w:tcPr>
            <w:tcW w:w="5543" w:type="dxa"/>
            <w:tcBorders>
              <w:top w:val="nil"/>
              <w:left w:val="nil"/>
              <w:bottom w:val="nil"/>
              <w:right w:val="nil"/>
            </w:tcBorders>
          </w:tcPr>
          <w:p w14:paraId="5AD5D6D3">
            <w:pPr>
              <w:tabs>
                <w:tab w:val="left" w:pos="2025"/>
                <w:tab w:val="left" w:pos="8928"/>
              </w:tabs>
              <w:spacing w:line="360" w:lineRule="auto"/>
              <w:rPr>
                <w:rFonts w:eastAsia="楷体_GB2312"/>
                <w:color w:val="000000"/>
                <w:sz w:val="24"/>
              </w:rPr>
            </w:pPr>
            <w:r>
              <w:rPr>
                <w:rFonts w:eastAsia="楷体_GB2312"/>
                <w:b/>
                <w:color w:val="000000"/>
                <w:sz w:val="24"/>
              </w:rPr>
              <w:t>【受托机构全称】</w:t>
            </w:r>
            <w:r>
              <w:rPr>
                <w:rFonts w:eastAsia="楷体_GB2312"/>
                <w:color w:val="000000"/>
                <w:sz w:val="24"/>
              </w:rPr>
              <w:br w:type="textWrapping"/>
            </w:r>
            <w:r>
              <w:rPr>
                <w:rFonts w:eastAsia="楷体_GB2312"/>
                <w:color w:val="000000"/>
                <w:sz w:val="24"/>
              </w:rPr>
              <w:t>地址：【】</w:t>
            </w:r>
            <w:r>
              <w:rPr>
                <w:rFonts w:eastAsia="楷体_GB2312"/>
                <w:color w:val="000000"/>
                <w:sz w:val="24"/>
              </w:rPr>
              <w:br w:type="textWrapping"/>
            </w:r>
            <w:r>
              <w:rPr>
                <w:rFonts w:eastAsia="楷体_GB2312"/>
                <w:color w:val="000000"/>
                <w:sz w:val="24"/>
              </w:rPr>
              <w:t>邮编：【】</w:t>
            </w:r>
            <w:r>
              <w:rPr>
                <w:rFonts w:eastAsia="楷体_GB2312"/>
                <w:color w:val="000000"/>
                <w:sz w:val="24"/>
              </w:rPr>
              <w:br w:type="textWrapping"/>
            </w:r>
            <w:r>
              <w:rPr>
                <w:rFonts w:eastAsia="楷体_GB2312"/>
                <w:color w:val="000000"/>
                <w:sz w:val="24"/>
              </w:rPr>
              <w:t>电话：【】</w:t>
            </w:r>
          </w:p>
          <w:p w14:paraId="589F452D">
            <w:pPr>
              <w:tabs>
                <w:tab w:val="left" w:pos="2025"/>
                <w:tab w:val="left" w:pos="8928"/>
              </w:tabs>
              <w:spacing w:line="360" w:lineRule="auto"/>
              <w:jc w:val="left"/>
              <w:rPr>
                <w:rFonts w:eastAsia="楷体_GB2312"/>
                <w:color w:val="000000"/>
                <w:sz w:val="24"/>
              </w:rPr>
            </w:pPr>
            <w:r>
              <w:rPr>
                <w:rFonts w:eastAsia="楷体_GB2312"/>
                <w:color w:val="000000"/>
                <w:sz w:val="24"/>
              </w:rPr>
              <w:t>传真：【】</w:t>
            </w:r>
          </w:p>
          <w:p w14:paraId="712DC67B">
            <w:pPr>
              <w:spacing w:line="360" w:lineRule="auto"/>
              <w:rPr>
                <w:rFonts w:eastAsia="楷体_GB2312"/>
                <w:color w:val="000000"/>
                <w:sz w:val="24"/>
              </w:rPr>
            </w:pPr>
            <w:r>
              <w:rPr>
                <w:rFonts w:eastAsia="楷体_GB2312"/>
                <w:color w:val="000000"/>
                <w:sz w:val="24"/>
              </w:rPr>
              <w:t>电子邮件：【】</w:t>
            </w:r>
          </w:p>
          <w:p w14:paraId="0424558C">
            <w:pPr>
              <w:spacing w:line="360" w:lineRule="auto"/>
              <w:rPr>
                <w:rFonts w:eastAsia="楷体_GB2312"/>
                <w:color w:val="000000"/>
              </w:rPr>
            </w:pPr>
            <w:r>
              <w:rPr>
                <w:rFonts w:eastAsia="楷体_GB2312"/>
                <w:color w:val="000000"/>
                <w:sz w:val="24"/>
              </w:rPr>
              <w:t>联系人：【】</w:t>
            </w:r>
          </w:p>
        </w:tc>
      </w:tr>
      <w:tr w14:paraId="20710344">
        <w:tblPrEx>
          <w:tblCellMar>
            <w:top w:w="0" w:type="dxa"/>
            <w:left w:w="108" w:type="dxa"/>
            <w:bottom w:w="0" w:type="dxa"/>
            <w:right w:w="108" w:type="dxa"/>
          </w:tblCellMar>
        </w:tblPrEx>
        <w:tc>
          <w:tcPr>
            <w:tcW w:w="3097" w:type="dxa"/>
            <w:tcBorders>
              <w:top w:val="nil"/>
              <w:left w:val="nil"/>
              <w:bottom w:val="nil"/>
              <w:right w:val="nil"/>
            </w:tcBorders>
          </w:tcPr>
          <w:p w14:paraId="746068B0">
            <w:pPr>
              <w:spacing w:line="360" w:lineRule="auto"/>
              <w:rPr>
                <w:rFonts w:eastAsia="楷体_GB2312"/>
                <w:color w:val="000000"/>
                <w:sz w:val="24"/>
              </w:rPr>
            </w:pPr>
            <w:r>
              <w:rPr>
                <w:rFonts w:eastAsia="楷体_GB2312"/>
                <w:color w:val="000000"/>
                <w:sz w:val="24"/>
              </w:rPr>
              <w:t>评级机构：</w:t>
            </w:r>
          </w:p>
        </w:tc>
        <w:tc>
          <w:tcPr>
            <w:tcW w:w="5543" w:type="dxa"/>
            <w:tcBorders>
              <w:top w:val="nil"/>
              <w:left w:val="nil"/>
              <w:bottom w:val="nil"/>
              <w:right w:val="nil"/>
            </w:tcBorders>
          </w:tcPr>
          <w:p w14:paraId="319D1A0E">
            <w:pPr>
              <w:spacing w:line="336" w:lineRule="auto"/>
              <w:rPr>
                <w:rFonts w:eastAsia="楷体_GB2312"/>
                <w:sz w:val="24"/>
              </w:rPr>
            </w:pPr>
            <w:r>
              <w:rPr>
                <w:rFonts w:eastAsia="楷体_GB2312"/>
                <w:b/>
                <w:bCs/>
                <w:color w:val="000000"/>
                <w:sz w:val="24"/>
              </w:rPr>
              <w:t>【评级机构1简称】</w:t>
            </w:r>
            <w:r>
              <w:rPr>
                <w:rFonts w:eastAsia="楷体_GB2312"/>
                <w:bCs/>
                <w:color w:val="000000"/>
                <w:sz w:val="24"/>
              </w:rPr>
              <w:br w:type="textWrapping"/>
            </w:r>
            <w:r>
              <w:rPr>
                <w:rFonts w:eastAsia="楷体_GB2312"/>
                <w:sz w:val="24"/>
              </w:rPr>
              <w:t>地址：</w:t>
            </w:r>
            <w:r>
              <w:rPr>
                <w:rFonts w:eastAsia="楷体_GB2312"/>
                <w:color w:val="000000"/>
                <w:sz w:val="24"/>
              </w:rPr>
              <w:t>【】</w:t>
            </w:r>
          </w:p>
          <w:p w14:paraId="72FD62AD">
            <w:pPr>
              <w:spacing w:line="336" w:lineRule="auto"/>
              <w:rPr>
                <w:rFonts w:eastAsia="楷体_GB2312"/>
                <w:sz w:val="24"/>
              </w:rPr>
            </w:pPr>
            <w:r>
              <w:rPr>
                <w:rFonts w:eastAsia="楷体_GB2312"/>
                <w:sz w:val="24"/>
              </w:rPr>
              <w:t>邮编：</w:t>
            </w:r>
            <w:r>
              <w:rPr>
                <w:rFonts w:eastAsia="楷体_GB2312"/>
                <w:color w:val="000000"/>
                <w:sz w:val="24"/>
              </w:rPr>
              <w:t>【】</w:t>
            </w:r>
          </w:p>
          <w:p w14:paraId="7DBF6DA5">
            <w:pPr>
              <w:spacing w:line="360" w:lineRule="auto"/>
              <w:rPr>
                <w:rFonts w:eastAsia="楷体_GB2312"/>
                <w:color w:val="000000"/>
                <w:sz w:val="24"/>
              </w:rPr>
            </w:pPr>
            <w:r>
              <w:rPr>
                <w:rFonts w:eastAsia="楷体_GB2312"/>
                <w:color w:val="000000"/>
                <w:sz w:val="24"/>
              </w:rPr>
              <w:t>电话：【】</w:t>
            </w:r>
          </w:p>
          <w:p w14:paraId="33DE5B3D">
            <w:pPr>
              <w:spacing w:line="360" w:lineRule="auto"/>
              <w:rPr>
                <w:rFonts w:eastAsia="楷体_GB2312"/>
                <w:bCs/>
                <w:color w:val="000000"/>
                <w:sz w:val="24"/>
              </w:rPr>
            </w:pPr>
            <w:r>
              <w:rPr>
                <w:rFonts w:eastAsia="楷体_GB2312"/>
                <w:color w:val="000000"/>
                <w:sz w:val="24"/>
              </w:rPr>
              <w:t>传真：【】</w:t>
            </w:r>
          </w:p>
          <w:p w14:paraId="745EF638">
            <w:pPr>
              <w:spacing w:line="360" w:lineRule="auto"/>
              <w:rPr>
                <w:rFonts w:eastAsia="楷体_GB2312"/>
                <w:color w:val="000000"/>
                <w:sz w:val="24"/>
              </w:rPr>
            </w:pPr>
            <w:r>
              <w:rPr>
                <w:rFonts w:eastAsia="楷体_GB2312"/>
                <w:color w:val="000000"/>
                <w:sz w:val="24"/>
              </w:rPr>
              <w:t>电子邮件：【】</w:t>
            </w:r>
          </w:p>
          <w:p w14:paraId="7A18B1FC">
            <w:pPr>
              <w:tabs>
                <w:tab w:val="left" w:pos="2025"/>
                <w:tab w:val="left" w:pos="8928"/>
              </w:tabs>
              <w:spacing w:line="360" w:lineRule="auto"/>
              <w:jc w:val="left"/>
              <w:rPr>
                <w:rFonts w:eastAsia="楷体_GB2312"/>
                <w:b/>
                <w:color w:val="000000"/>
                <w:sz w:val="24"/>
              </w:rPr>
            </w:pPr>
            <w:r>
              <w:rPr>
                <w:rFonts w:eastAsia="楷体_GB2312"/>
                <w:color w:val="000000"/>
                <w:sz w:val="24"/>
              </w:rPr>
              <w:t>联系人：【】</w:t>
            </w:r>
          </w:p>
        </w:tc>
      </w:tr>
      <w:tr w14:paraId="144F3BFE">
        <w:tblPrEx>
          <w:tblCellMar>
            <w:top w:w="0" w:type="dxa"/>
            <w:left w:w="108" w:type="dxa"/>
            <w:bottom w:w="0" w:type="dxa"/>
            <w:right w:w="108" w:type="dxa"/>
          </w:tblCellMar>
        </w:tblPrEx>
        <w:tc>
          <w:tcPr>
            <w:tcW w:w="3097" w:type="dxa"/>
            <w:tcBorders>
              <w:top w:val="nil"/>
              <w:left w:val="nil"/>
              <w:bottom w:val="nil"/>
              <w:right w:val="nil"/>
            </w:tcBorders>
          </w:tcPr>
          <w:p w14:paraId="2A96FEC7">
            <w:pPr>
              <w:spacing w:line="360" w:lineRule="auto"/>
              <w:rPr>
                <w:rFonts w:eastAsia="楷体_GB2312"/>
                <w:color w:val="000000"/>
              </w:rPr>
            </w:pPr>
            <w:r>
              <w:rPr>
                <w:rFonts w:eastAsia="楷体_GB2312"/>
                <w:color w:val="000000"/>
                <w:sz w:val="24"/>
              </w:rPr>
              <w:t>评级机构：</w:t>
            </w:r>
          </w:p>
        </w:tc>
        <w:tc>
          <w:tcPr>
            <w:tcW w:w="5543" w:type="dxa"/>
            <w:tcBorders>
              <w:top w:val="nil"/>
              <w:left w:val="nil"/>
              <w:bottom w:val="nil"/>
              <w:right w:val="nil"/>
            </w:tcBorders>
          </w:tcPr>
          <w:p w14:paraId="7DB8DF2C">
            <w:pPr>
              <w:spacing w:line="360" w:lineRule="auto"/>
              <w:rPr>
                <w:rFonts w:eastAsia="楷体_GB2312"/>
                <w:b/>
                <w:bCs/>
                <w:color w:val="000000"/>
              </w:rPr>
            </w:pPr>
            <w:r>
              <w:rPr>
                <w:rFonts w:eastAsia="楷体_GB2312"/>
                <w:b/>
                <w:bCs/>
                <w:color w:val="000000"/>
                <w:sz w:val="24"/>
              </w:rPr>
              <w:t>【评级机构2简称】</w:t>
            </w:r>
          </w:p>
          <w:p w14:paraId="385694BE">
            <w:pPr>
              <w:spacing w:line="360" w:lineRule="auto"/>
              <w:rPr>
                <w:rFonts w:eastAsia="楷体_GB2312"/>
                <w:bCs/>
                <w:color w:val="000000"/>
                <w:sz w:val="24"/>
              </w:rPr>
            </w:pPr>
            <w:r>
              <w:rPr>
                <w:rFonts w:eastAsia="楷体_GB2312"/>
                <w:color w:val="000000"/>
                <w:sz w:val="24"/>
              </w:rPr>
              <w:t>地址：【】</w:t>
            </w:r>
            <w:r>
              <w:rPr>
                <w:rFonts w:eastAsia="楷体_GB2312"/>
                <w:color w:val="000000"/>
                <w:sz w:val="24"/>
              </w:rPr>
              <w:br w:type="textWrapping"/>
            </w:r>
            <w:r>
              <w:rPr>
                <w:rFonts w:eastAsia="楷体_GB2312"/>
                <w:color w:val="000000"/>
                <w:sz w:val="24"/>
              </w:rPr>
              <w:t>邮编：【】</w:t>
            </w:r>
            <w:r>
              <w:rPr>
                <w:rFonts w:eastAsia="楷体_GB2312"/>
                <w:color w:val="000000"/>
                <w:sz w:val="24"/>
              </w:rPr>
              <w:br w:type="textWrapping"/>
            </w:r>
            <w:r>
              <w:rPr>
                <w:rFonts w:eastAsia="楷体_GB2312"/>
                <w:color w:val="000000"/>
                <w:sz w:val="24"/>
              </w:rPr>
              <w:t>电话：【】</w:t>
            </w:r>
          </w:p>
          <w:p w14:paraId="6C951D4E">
            <w:pPr>
              <w:spacing w:line="360" w:lineRule="auto"/>
              <w:rPr>
                <w:rFonts w:eastAsia="楷体_GB2312"/>
                <w:color w:val="000000"/>
                <w:sz w:val="24"/>
              </w:rPr>
            </w:pPr>
            <w:r>
              <w:rPr>
                <w:rFonts w:eastAsia="楷体_GB2312"/>
                <w:color w:val="000000"/>
                <w:sz w:val="24"/>
              </w:rPr>
              <w:t>传真：【】</w:t>
            </w:r>
          </w:p>
          <w:p w14:paraId="2F9222D6">
            <w:pPr>
              <w:spacing w:line="360" w:lineRule="auto"/>
              <w:rPr>
                <w:rFonts w:eastAsia="楷体_GB2312"/>
                <w:i/>
                <w:iCs/>
                <w:color w:val="000000"/>
              </w:rPr>
            </w:pPr>
            <w:r>
              <w:rPr>
                <w:rFonts w:eastAsia="楷体_GB2312"/>
                <w:color w:val="000000"/>
                <w:sz w:val="24"/>
              </w:rPr>
              <w:t>电子邮件：【】</w:t>
            </w:r>
            <w:r>
              <w:rPr>
                <w:rFonts w:eastAsia="楷体_GB2312"/>
                <w:color w:val="000000"/>
                <w:sz w:val="24"/>
              </w:rPr>
              <w:br w:type="textWrapping"/>
            </w:r>
            <w:r>
              <w:rPr>
                <w:rFonts w:eastAsia="楷体_GB2312"/>
                <w:color w:val="000000"/>
                <w:sz w:val="24"/>
              </w:rPr>
              <w:t>联系人：【】</w:t>
            </w:r>
          </w:p>
        </w:tc>
      </w:tr>
    </w:tbl>
    <w:p w14:paraId="3EBD475B">
      <w:pPr>
        <w:numPr>
          <w:ilvl w:val="1"/>
          <w:numId w:val="7"/>
        </w:numPr>
        <w:spacing w:line="360" w:lineRule="auto"/>
        <w:rPr>
          <w:rFonts w:eastAsia="楷体_GB2312"/>
          <w:color w:val="000000"/>
          <w:sz w:val="24"/>
        </w:rPr>
      </w:pPr>
      <w:r>
        <w:rPr>
          <w:rFonts w:eastAsia="楷体_GB2312"/>
          <w:color w:val="000000"/>
          <w:sz w:val="24"/>
        </w:rPr>
        <w:t>一方通讯地址或联络方式发生变化以致其他方无法通过上述任一联系方式联络到该方时，该方应自发生变化之日起【】个“工作日”内以书面形式通知其他方。如果在“信托终止日”前一个月内发生上述变化的，应在【】个“工作日”内以书面形式通知其他方。</w:t>
      </w:r>
    </w:p>
    <w:p w14:paraId="7E673DDB">
      <w:pPr>
        <w:numPr>
          <w:ilvl w:val="1"/>
          <w:numId w:val="7"/>
        </w:numPr>
        <w:spacing w:line="360" w:lineRule="auto"/>
        <w:rPr>
          <w:rFonts w:eastAsia="楷体_GB2312"/>
          <w:color w:val="000000"/>
          <w:sz w:val="24"/>
        </w:rPr>
      </w:pPr>
      <w:r>
        <w:rPr>
          <w:rFonts w:eastAsia="楷体_GB2312"/>
          <w:color w:val="000000"/>
          <w:sz w:val="24"/>
        </w:rPr>
        <w:t>如果通讯地址或联络方式发生变化的一方（简称“变动一方”），未将有关变化及时通知其他方，除非</w:t>
      </w:r>
      <w:r>
        <w:rPr>
          <w:rFonts w:eastAsia="楷体_GB2312"/>
          <w:bCs/>
          <w:color w:val="000000"/>
          <w:sz w:val="24"/>
        </w:rPr>
        <w:t>“</w:t>
      </w:r>
      <w:r>
        <w:rPr>
          <w:rFonts w:eastAsia="楷体_GB2312"/>
          <w:color w:val="000000"/>
          <w:sz w:val="24"/>
        </w:rPr>
        <w:t>中国”“法律”另有规定，变动一方应对由此而造成的影响和损失承担责任。</w:t>
      </w:r>
    </w:p>
    <w:bookmarkEnd w:id="1699"/>
    <w:p w14:paraId="59BCE58E">
      <w:pPr>
        <w:numPr>
          <w:ilvl w:val="0"/>
          <w:numId w:val="7"/>
        </w:numPr>
        <w:spacing w:line="360" w:lineRule="auto"/>
        <w:outlineLvl w:val="0"/>
        <w:rPr>
          <w:rFonts w:eastAsia="楷体_GB2312"/>
          <w:b/>
          <w:color w:val="000000"/>
          <w:sz w:val="24"/>
        </w:rPr>
      </w:pPr>
      <w:bookmarkStart w:id="1703" w:name="_Toc219654372"/>
      <w:bookmarkEnd w:id="1703"/>
      <w:bookmarkStart w:id="1704" w:name="_Toc219654301"/>
      <w:bookmarkEnd w:id="1704"/>
      <w:bookmarkStart w:id="1705" w:name="_Toc219653821"/>
      <w:bookmarkEnd w:id="1705"/>
      <w:bookmarkStart w:id="1706" w:name="_Toc335661530"/>
      <w:bookmarkStart w:id="1707" w:name="_Toc219710695"/>
      <w:bookmarkStart w:id="1708" w:name="_Toc225538176"/>
      <w:bookmarkStart w:id="1709" w:name="_Toc207007324"/>
      <w:bookmarkStart w:id="1710" w:name="_Toc172438593"/>
      <w:bookmarkStart w:id="1711" w:name="_Toc13816324"/>
      <w:bookmarkStart w:id="1712" w:name="_Toc15369295"/>
      <w:bookmarkStart w:id="1713" w:name="_Toc107783395"/>
      <w:bookmarkStart w:id="1714" w:name="_Toc99420081"/>
      <w:r>
        <w:rPr>
          <w:rFonts w:eastAsia="楷体_GB2312"/>
          <w:b/>
          <w:color w:val="000000"/>
          <w:sz w:val="24"/>
        </w:rPr>
        <w:t>修改和弃权</w:t>
      </w:r>
      <w:bookmarkEnd w:id="1706"/>
      <w:bookmarkEnd w:id="1707"/>
      <w:bookmarkEnd w:id="1708"/>
      <w:bookmarkEnd w:id="1709"/>
    </w:p>
    <w:p w14:paraId="3EBF611C">
      <w:pPr>
        <w:numPr>
          <w:ilvl w:val="1"/>
          <w:numId w:val="7"/>
        </w:numPr>
        <w:spacing w:line="360" w:lineRule="auto"/>
        <w:rPr>
          <w:rFonts w:eastAsia="楷体_GB2312"/>
          <w:b/>
          <w:color w:val="000000"/>
          <w:sz w:val="24"/>
        </w:rPr>
      </w:pPr>
      <w:r>
        <w:rPr>
          <w:rFonts w:eastAsia="楷体_GB2312"/>
          <w:b/>
          <w:color w:val="000000"/>
          <w:sz w:val="24"/>
        </w:rPr>
        <w:t>修改和弃权</w:t>
      </w:r>
    </w:p>
    <w:p w14:paraId="4EFD57EC">
      <w:pPr>
        <w:numPr>
          <w:ilvl w:val="2"/>
          <w:numId w:val="7"/>
        </w:numPr>
        <w:spacing w:line="360" w:lineRule="auto"/>
        <w:ind w:left="1701" w:hanging="708"/>
        <w:rPr>
          <w:rFonts w:eastAsia="楷体_GB2312"/>
          <w:color w:val="000000"/>
          <w:sz w:val="24"/>
        </w:rPr>
      </w:pPr>
      <w:r>
        <w:rPr>
          <w:rFonts w:eastAsia="楷体_GB2312"/>
          <w:color w:val="000000"/>
          <w:sz w:val="24"/>
        </w:rPr>
        <w:t>本合同项下如有未尽事宜，可由本合同双方协商以书面形式补充，如“受托人”合理地认为该等补充内容可能实质性损害“资产支持证券持有人”的权利，上述补充还须经“资产支持证券持有人大会”书面同意。“受托人”应事先书面通知“评级机构”上述补充。</w:t>
      </w:r>
    </w:p>
    <w:p w14:paraId="6822D006">
      <w:pPr>
        <w:numPr>
          <w:ilvl w:val="2"/>
          <w:numId w:val="7"/>
        </w:numPr>
        <w:spacing w:line="360" w:lineRule="auto"/>
        <w:ind w:left="1701" w:hanging="708"/>
        <w:rPr>
          <w:rFonts w:eastAsia="楷体_GB2312"/>
          <w:color w:val="000000"/>
          <w:sz w:val="24"/>
        </w:rPr>
      </w:pPr>
      <w:r>
        <w:rPr>
          <w:rFonts w:eastAsia="楷体_GB2312"/>
          <w:color w:val="000000"/>
          <w:sz w:val="24"/>
        </w:rPr>
        <w:t>对本合同任何条款的修改、修订或弃权必须以书面形式明示而非默示地做出，并由双方签署；如“受托人”合理地认为该等修改、更正或弃权可能实质性损害“资产支持证券持有人”的权利，上述修改、修订或弃权还须经“资产支持证券持有人大会”书面同意。“受托人”应事先书面通知“评级机构”上述每一个修改、修订或弃权。</w:t>
      </w:r>
    </w:p>
    <w:p w14:paraId="1A936779">
      <w:pPr>
        <w:numPr>
          <w:ilvl w:val="1"/>
          <w:numId w:val="7"/>
        </w:numPr>
        <w:spacing w:line="360" w:lineRule="auto"/>
        <w:rPr>
          <w:rFonts w:eastAsia="楷体_GB2312"/>
          <w:b/>
          <w:color w:val="000000"/>
          <w:sz w:val="24"/>
        </w:rPr>
      </w:pPr>
      <w:r>
        <w:rPr>
          <w:rFonts w:eastAsia="楷体_GB2312"/>
          <w:b/>
          <w:color w:val="000000"/>
          <w:sz w:val="24"/>
        </w:rPr>
        <w:t>无默示弃权</w:t>
      </w:r>
    </w:p>
    <w:p w14:paraId="23F55903">
      <w:pPr>
        <w:spacing w:line="360" w:lineRule="auto"/>
        <w:ind w:left="991" w:leftChars="472"/>
        <w:rPr>
          <w:rFonts w:eastAsia="楷体_GB2312"/>
          <w:color w:val="000000"/>
          <w:sz w:val="24"/>
        </w:rPr>
      </w:pPr>
      <w:r>
        <w:rPr>
          <w:rFonts w:eastAsia="楷体_GB2312"/>
          <w:color w:val="000000"/>
          <w:sz w:val="24"/>
        </w:rPr>
        <w:t>任何一方未行使或迟延行使本合同项下的任何权利或补救措施，不应被视为放弃该等权利或补救措施。单独或部分行使任何权利或补救措施也不应妨碍进一步行使该权利或补救措施或行使其他权利或补救措施。</w:t>
      </w:r>
    </w:p>
    <w:p w14:paraId="16648994">
      <w:pPr>
        <w:numPr>
          <w:ilvl w:val="1"/>
          <w:numId w:val="7"/>
        </w:numPr>
        <w:spacing w:line="360" w:lineRule="auto"/>
        <w:rPr>
          <w:rFonts w:eastAsia="楷体_GB2312"/>
          <w:b/>
          <w:color w:val="000000"/>
          <w:sz w:val="24"/>
        </w:rPr>
      </w:pPr>
      <w:r>
        <w:rPr>
          <w:rFonts w:eastAsia="楷体_GB2312"/>
          <w:b/>
          <w:color w:val="000000"/>
          <w:sz w:val="24"/>
        </w:rPr>
        <w:t>非排他性权利</w:t>
      </w:r>
    </w:p>
    <w:p w14:paraId="29FEC32A">
      <w:pPr>
        <w:spacing w:line="360" w:lineRule="auto"/>
        <w:ind w:left="991" w:leftChars="472"/>
        <w:rPr>
          <w:rFonts w:eastAsia="楷体_GB2312"/>
          <w:color w:val="000000"/>
          <w:sz w:val="24"/>
        </w:rPr>
      </w:pPr>
      <w:r>
        <w:rPr>
          <w:rFonts w:eastAsia="楷体_GB2312"/>
          <w:color w:val="000000"/>
          <w:sz w:val="24"/>
        </w:rPr>
        <w:t>本合同项下的权利和补救措施并不排除</w:t>
      </w:r>
      <w:r>
        <w:rPr>
          <w:rFonts w:eastAsia="楷体_GB2312"/>
          <w:bCs/>
          <w:color w:val="000000"/>
          <w:sz w:val="24"/>
        </w:rPr>
        <w:t>“</w:t>
      </w:r>
      <w:r>
        <w:rPr>
          <w:rFonts w:eastAsia="楷体_GB2312"/>
          <w:color w:val="000000"/>
          <w:sz w:val="24"/>
        </w:rPr>
        <w:t>中国”“法律”或任何其他“交易文件”约定的任何权利和补救措施。</w:t>
      </w:r>
    </w:p>
    <w:p w14:paraId="2D91F847">
      <w:pPr>
        <w:numPr>
          <w:ilvl w:val="0"/>
          <w:numId w:val="7"/>
        </w:numPr>
        <w:spacing w:line="360" w:lineRule="auto"/>
        <w:outlineLvl w:val="0"/>
        <w:rPr>
          <w:rFonts w:eastAsia="楷体_GB2312"/>
          <w:b/>
          <w:color w:val="000000"/>
          <w:sz w:val="24"/>
        </w:rPr>
      </w:pPr>
      <w:bookmarkStart w:id="1715" w:name="_Toc219653823"/>
      <w:bookmarkEnd w:id="1715"/>
      <w:bookmarkStart w:id="1716" w:name="_Toc219654303"/>
      <w:bookmarkEnd w:id="1716"/>
      <w:bookmarkStart w:id="1717" w:name="_Toc219654374"/>
      <w:bookmarkEnd w:id="1717"/>
      <w:bookmarkStart w:id="1718" w:name="_Toc225538177"/>
      <w:bookmarkStart w:id="1719" w:name="_Toc335661531"/>
      <w:bookmarkStart w:id="1720" w:name="_Toc219710696"/>
      <w:bookmarkStart w:id="1721" w:name="_Toc207007325"/>
      <w:r>
        <w:rPr>
          <w:rFonts w:eastAsia="楷体_GB2312"/>
          <w:b/>
          <w:color w:val="000000"/>
          <w:sz w:val="24"/>
        </w:rPr>
        <w:t>条款的独立性</w:t>
      </w:r>
      <w:bookmarkEnd w:id="1718"/>
      <w:bookmarkEnd w:id="1719"/>
      <w:bookmarkEnd w:id="1720"/>
      <w:bookmarkEnd w:id="1721"/>
    </w:p>
    <w:p w14:paraId="53EE8359">
      <w:pPr>
        <w:spacing w:line="360" w:lineRule="auto"/>
        <w:ind w:left="424" w:leftChars="202"/>
        <w:rPr>
          <w:rFonts w:eastAsia="楷体_GB2312"/>
          <w:color w:val="000000"/>
          <w:sz w:val="24"/>
        </w:rPr>
      </w:pPr>
      <w:r>
        <w:rPr>
          <w:rFonts w:eastAsia="楷体_GB2312"/>
          <w:color w:val="000000"/>
          <w:sz w:val="24"/>
        </w:rPr>
        <w:t>在不损害本合同其他约定的情况下，如本合同某一条或更多条款在</w:t>
      </w:r>
      <w:r>
        <w:rPr>
          <w:rFonts w:eastAsia="楷体_GB2312"/>
          <w:bCs/>
          <w:color w:val="000000"/>
          <w:sz w:val="24"/>
        </w:rPr>
        <w:t>“</w:t>
      </w:r>
      <w:r>
        <w:rPr>
          <w:rFonts w:eastAsia="楷体_GB2312"/>
          <w:color w:val="000000"/>
          <w:sz w:val="24"/>
        </w:rPr>
        <w:t>中国”“法律”项下是或成为无效的、不合法的或无法强制执行的，或对任何一方或几方是无效的、不合法的或无法强制执行的，在适用</w:t>
      </w:r>
      <w:r>
        <w:rPr>
          <w:rFonts w:eastAsia="楷体_GB2312"/>
          <w:bCs/>
          <w:color w:val="000000"/>
          <w:sz w:val="24"/>
        </w:rPr>
        <w:t>“</w:t>
      </w:r>
      <w:r>
        <w:rPr>
          <w:rFonts w:eastAsia="楷体_GB2312"/>
          <w:color w:val="000000"/>
          <w:sz w:val="24"/>
        </w:rPr>
        <w:t>中国”“法律”允许的最大限度内，该无效、不合法或无法强制执行不应造成其他条款对本合同任何一方无效、不合法或无法强制执行，或对其他方无效、不合法或无法强制执行。</w:t>
      </w:r>
    </w:p>
    <w:p w14:paraId="0031D915">
      <w:pPr>
        <w:numPr>
          <w:ilvl w:val="0"/>
          <w:numId w:val="7"/>
        </w:numPr>
        <w:spacing w:line="360" w:lineRule="auto"/>
        <w:outlineLvl w:val="0"/>
        <w:rPr>
          <w:rFonts w:eastAsia="楷体_GB2312"/>
          <w:b/>
          <w:color w:val="000000"/>
          <w:sz w:val="24"/>
        </w:rPr>
      </w:pPr>
      <w:bookmarkStart w:id="1722" w:name="_Toc219654376"/>
      <w:bookmarkEnd w:id="1722"/>
      <w:bookmarkStart w:id="1723" w:name="_Toc456258866"/>
      <w:bookmarkEnd w:id="1723"/>
      <w:bookmarkStart w:id="1724" w:name="_Toc456258867"/>
      <w:bookmarkEnd w:id="1724"/>
      <w:bookmarkStart w:id="1725" w:name="_Toc456258865"/>
      <w:bookmarkEnd w:id="1725"/>
      <w:bookmarkStart w:id="1726" w:name="_Toc219654305"/>
      <w:bookmarkEnd w:id="1726"/>
      <w:bookmarkStart w:id="1727" w:name="_Toc219653825"/>
      <w:bookmarkEnd w:id="1727"/>
      <w:bookmarkStart w:id="1728" w:name="_Toc456258864"/>
      <w:bookmarkEnd w:id="1728"/>
      <w:bookmarkStart w:id="1729" w:name="_Toc225538178"/>
      <w:bookmarkStart w:id="1730" w:name="_Toc219710697"/>
      <w:bookmarkStart w:id="1731" w:name="_Toc335661532"/>
      <w:bookmarkStart w:id="1732" w:name="_Toc207007326"/>
      <w:r>
        <w:rPr>
          <w:rFonts w:eastAsia="楷体_GB2312"/>
          <w:b/>
          <w:color w:val="000000"/>
          <w:sz w:val="24"/>
        </w:rPr>
        <w:t>合同的生效与终止</w:t>
      </w:r>
      <w:bookmarkEnd w:id="1729"/>
      <w:bookmarkEnd w:id="1730"/>
      <w:bookmarkEnd w:id="1731"/>
      <w:bookmarkEnd w:id="1732"/>
    </w:p>
    <w:p w14:paraId="1361B5C0">
      <w:pPr>
        <w:numPr>
          <w:ilvl w:val="1"/>
          <w:numId w:val="7"/>
        </w:numPr>
        <w:spacing w:line="360" w:lineRule="auto"/>
        <w:rPr>
          <w:rFonts w:eastAsia="楷体_GB2312"/>
          <w:color w:val="000000"/>
          <w:sz w:val="24"/>
        </w:rPr>
      </w:pPr>
      <w:r>
        <w:rPr>
          <w:rFonts w:eastAsia="楷体_GB2312"/>
          <w:color w:val="000000"/>
          <w:sz w:val="24"/>
        </w:rPr>
        <w:t>本合同自双方的法定代表人或授权代理人签字或签章并加盖公章或合同专用章之</w:t>
      </w:r>
      <w:r>
        <w:rPr>
          <w:rFonts w:hint="eastAsia" w:eastAsia="楷体_GB2312"/>
          <w:color w:val="000000"/>
          <w:sz w:val="24"/>
        </w:rPr>
        <w:t>日起</w:t>
      </w:r>
      <w:r>
        <w:rPr>
          <w:rFonts w:eastAsia="楷体_GB2312"/>
          <w:color w:val="000000"/>
          <w:sz w:val="24"/>
        </w:rPr>
        <w:t>生效。</w:t>
      </w:r>
    </w:p>
    <w:p w14:paraId="2686464B">
      <w:pPr>
        <w:numPr>
          <w:ilvl w:val="1"/>
          <w:numId w:val="7"/>
        </w:numPr>
        <w:spacing w:line="360" w:lineRule="auto"/>
        <w:rPr>
          <w:rFonts w:eastAsia="楷体_GB2312"/>
          <w:color w:val="000000"/>
          <w:sz w:val="24"/>
        </w:rPr>
      </w:pPr>
      <w:r>
        <w:rPr>
          <w:rFonts w:eastAsia="楷体_GB2312"/>
          <w:color w:val="000000"/>
          <w:sz w:val="24"/>
        </w:rPr>
        <w:t>本合同于“受托人”完成“信托财产”清算、“信托”清算报告公告期届满且“信托终止日”时“资产支持证券”未兑付完毕的“资产支持证券持有人”未提出异议时终止。</w:t>
      </w:r>
    </w:p>
    <w:p w14:paraId="08436E4B">
      <w:pPr>
        <w:numPr>
          <w:ilvl w:val="1"/>
          <w:numId w:val="7"/>
        </w:numPr>
        <w:spacing w:line="360" w:lineRule="auto"/>
        <w:rPr>
          <w:rFonts w:eastAsia="楷体_GB2312"/>
          <w:color w:val="000000"/>
          <w:sz w:val="24"/>
        </w:rPr>
      </w:pPr>
      <w:r>
        <w:rPr>
          <w:rFonts w:eastAsia="楷体_GB2312"/>
          <w:color w:val="000000"/>
          <w:sz w:val="24"/>
        </w:rPr>
        <w:t>本合同（以及其他“交易文件”）取消和取代本合同签署前的任何其他协议或承诺，构成双方关于本合同主旨的完整协议。</w:t>
      </w:r>
    </w:p>
    <w:p w14:paraId="1DEADE08">
      <w:pPr>
        <w:numPr>
          <w:ilvl w:val="0"/>
          <w:numId w:val="7"/>
        </w:numPr>
        <w:spacing w:line="360" w:lineRule="auto"/>
        <w:outlineLvl w:val="0"/>
        <w:rPr>
          <w:rFonts w:eastAsia="楷体_GB2312"/>
          <w:b/>
          <w:color w:val="000000"/>
          <w:sz w:val="24"/>
        </w:rPr>
      </w:pPr>
      <w:bookmarkStart w:id="1733" w:name="_Toc219654307"/>
      <w:bookmarkEnd w:id="1733"/>
      <w:bookmarkStart w:id="1734" w:name="_Toc219653827"/>
      <w:bookmarkEnd w:id="1734"/>
      <w:bookmarkStart w:id="1735" w:name="_Toc219654378"/>
      <w:bookmarkEnd w:id="1735"/>
      <w:bookmarkStart w:id="1736" w:name="_Toc207007327"/>
      <w:bookmarkStart w:id="1737" w:name="_Toc219710698"/>
      <w:bookmarkStart w:id="1738" w:name="_Toc225538179"/>
      <w:bookmarkStart w:id="1739" w:name="_Toc335661533"/>
      <w:r>
        <w:rPr>
          <w:rFonts w:eastAsia="楷体_GB2312"/>
          <w:b/>
          <w:color w:val="000000"/>
          <w:sz w:val="24"/>
        </w:rPr>
        <w:t>合同文本</w:t>
      </w:r>
      <w:bookmarkEnd w:id="1736"/>
      <w:bookmarkEnd w:id="1737"/>
      <w:bookmarkEnd w:id="1738"/>
      <w:bookmarkEnd w:id="1739"/>
    </w:p>
    <w:p w14:paraId="5654A7E1">
      <w:pPr>
        <w:spacing w:line="360" w:lineRule="auto"/>
        <w:ind w:left="424" w:leftChars="202"/>
        <w:rPr>
          <w:rFonts w:eastAsia="楷体_GB2312"/>
          <w:color w:val="000000"/>
          <w:sz w:val="24"/>
        </w:rPr>
      </w:pPr>
      <w:r>
        <w:rPr>
          <w:rFonts w:eastAsia="楷体_GB2312"/>
          <w:color w:val="000000"/>
          <w:sz w:val="24"/>
        </w:rPr>
        <w:t>本合同一式【】份，具有同等法律效力；“委托人”、“受托人”各执【】份，其余【】份合同用于与本项目相关的监管报备，在提交报备前留存于“受托人”处。本合同所列附件是本合同不可分割的组成部分。</w:t>
      </w:r>
    </w:p>
    <w:bookmarkEnd w:id="1710"/>
    <w:bookmarkEnd w:id="1711"/>
    <w:bookmarkEnd w:id="1712"/>
    <w:bookmarkEnd w:id="1713"/>
    <w:bookmarkEnd w:id="1714"/>
    <w:p w14:paraId="08B94DD1">
      <w:pPr>
        <w:spacing w:line="480" w:lineRule="auto"/>
        <w:rPr>
          <w:rFonts w:eastAsia="楷体_GB2312"/>
          <w:i/>
          <w:color w:val="000000"/>
          <w:sz w:val="24"/>
        </w:rPr>
      </w:pPr>
      <w:bookmarkStart w:id="1740" w:name="_DV_M744"/>
      <w:bookmarkEnd w:id="1740"/>
      <w:bookmarkStart w:id="1741" w:name="_DV_M747"/>
      <w:bookmarkEnd w:id="1741"/>
      <w:bookmarkStart w:id="1742" w:name="_DV_M746"/>
      <w:bookmarkEnd w:id="1742"/>
      <w:bookmarkStart w:id="1743" w:name="_DV_M748"/>
      <w:bookmarkEnd w:id="1743"/>
      <w:bookmarkStart w:id="1744" w:name="_DV_M749"/>
      <w:bookmarkEnd w:id="1744"/>
      <w:bookmarkStart w:id="1745" w:name="_DV_M745"/>
      <w:bookmarkEnd w:id="1745"/>
      <w:r>
        <w:rPr>
          <w:rFonts w:eastAsia="楷体_GB2312"/>
          <w:i/>
          <w:color w:val="000000"/>
          <w:sz w:val="24"/>
        </w:rPr>
        <w:t>（以下无正文）</w:t>
      </w:r>
    </w:p>
    <w:p w14:paraId="47EAEDB1">
      <w:pPr>
        <w:widowControl/>
        <w:jc w:val="left"/>
        <w:rPr>
          <w:rFonts w:eastAsia="楷体_GB2312"/>
          <w:i/>
          <w:color w:val="000000"/>
          <w:sz w:val="24"/>
        </w:rPr>
      </w:pPr>
      <w:r>
        <w:rPr>
          <w:rFonts w:eastAsia="楷体_GB2312"/>
          <w:i/>
          <w:color w:val="000000"/>
          <w:sz w:val="24"/>
        </w:rPr>
        <w:br w:type="page"/>
      </w:r>
    </w:p>
    <w:p w14:paraId="1AAD83EF">
      <w:pPr>
        <w:spacing w:line="360" w:lineRule="auto"/>
        <w:rPr>
          <w:rFonts w:eastAsia="楷体_GB2312"/>
          <w:bCs/>
          <w:kern w:val="0"/>
          <w:sz w:val="24"/>
        </w:rPr>
      </w:pPr>
      <w:r>
        <w:rPr>
          <w:rFonts w:eastAsia="楷体_GB2312"/>
          <w:bCs/>
          <w:kern w:val="0"/>
          <w:sz w:val="24"/>
        </w:rPr>
        <w:t>（本页无正文，为</w:t>
      </w:r>
      <w:r>
        <w:rPr>
          <w:rFonts w:eastAsia="楷体_GB2312"/>
          <w:bCs/>
          <w:color w:val="000000" w:themeColor="text1"/>
          <w:kern w:val="0"/>
          <w:sz w:val="24"/>
          <w14:textFill>
            <w14:solidFill>
              <w14:schemeClr w14:val="tx1"/>
            </w14:solidFill>
          </w14:textFill>
        </w:rPr>
        <w:t>编号为</w:t>
      </w:r>
      <w:r>
        <w:rPr>
          <w:rFonts w:eastAsia="楷体_GB2312"/>
          <w:kern w:val="0"/>
          <w:sz w:val="24"/>
        </w:rPr>
        <w:t>【信托合同编号】的</w:t>
      </w:r>
      <w:r>
        <w:rPr>
          <w:rFonts w:eastAsia="楷体_GB2312"/>
          <w:bCs/>
          <w:kern w:val="0"/>
          <w:sz w:val="24"/>
        </w:rPr>
        <w:t>《【信托名称】</w:t>
      </w:r>
      <w:r>
        <w:rPr>
          <w:rFonts w:hint="eastAsia" w:eastAsia="楷体_GB2312"/>
          <w:bCs/>
          <w:kern w:val="0"/>
          <w:sz w:val="24"/>
        </w:rPr>
        <w:t>之</w:t>
      </w:r>
      <w:r>
        <w:rPr>
          <w:rFonts w:eastAsia="楷体_GB2312"/>
          <w:bCs/>
          <w:kern w:val="0"/>
          <w:sz w:val="24"/>
        </w:rPr>
        <w:t>信托合同》的签署页）</w:t>
      </w:r>
    </w:p>
    <w:p w14:paraId="0DAB1921">
      <w:pPr>
        <w:spacing w:line="480" w:lineRule="auto"/>
        <w:rPr>
          <w:rFonts w:eastAsia="楷体_GB2312"/>
          <w:i/>
          <w:color w:val="000000"/>
          <w:sz w:val="24"/>
        </w:rPr>
      </w:pPr>
    </w:p>
    <w:p w14:paraId="77EFCE64">
      <w:pPr>
        <w:spacing w:line="360" w:lineRule="auto"/>
        <w:rPr>
          <w:rFonts w:eastAsia="楷体_GB2312"/>
          <w:color w:val="000000"/>
        </w:rPr>
      </w:pPr>
    </w:p>
    <w:p w14:paraId="45CDD680">
      <w:pPr>
        <w:spacing w:line="360" w:lineRule="auto"/>
        <w:rPr>
          <w:rFonts w:eastAsia="楷体_GB2312"/>
          <w:color w:val="000000"/>
        </w:rPr>
      </w:pPr>
    </w:p>
    <w:p w14:paraId="04AAD63A">
      <w:pPr>
        <w:spacing w:line="480" w:lineRule="auto"/>
        <w:rPr>
          <w:rFonts w:eastAsia="楷体_GB2312"/>
          <w:i/>
          <w:color w:val="000000"/>
        </w:rPr>
      </w:pPr>
    </w:p>
    <w:p w14:paraId="28E92DDD">
      <w:pPr>
        <w:spacing w:line="360" w:lineRule="auto"/>
        <w:jc w:val="center"/>
        <w:rPr>
          <w:rFonts w:eastAsia="楷体_GB2312"/>
          <w:b/>
          <w:sz w:val="36"/>
          <w:szCs w:val="36"/>
        </w:rPr>
      </w:pPr>
      <w:r>
        <w:rPr>
          <w:rFonts w:eastAsia="楷体_GB2312"/>
          <w:b/>
          <w:sz w:val="36"/>
          <w:szCs w:val="36"/>
        </w:rPr>
        <w:t>【信托名称】</w:t>
      </w:r>
    </w:p>
    <w:p w14:paraId="14913302">
      <w:pPr>
        <w:spacing w:line="360" w:lineRule="auto"/>
        <w:jc w:val="center"/>
        <w:rPr>
          <w:rFonts w:eastAsia="楷体_GB2312"/>
          <w:b/>
          <w:sz w:val="36"/>
          <w:szCs w:val="36"/>
        </w:rPr>
      </w:pPr>
      <w:r>
        <w:rPr>
          <w:rFonts w:hint="eastAsia" w:eastAsia="楷体_GB2312"/>
          <w:b/>
          <w:sz w:val="36"/>
          <w:szCs w:val="36"/>
        </w:rPr>
        <w:t>之</w:t>
      </w:r>
    </w:p>
    <w:p w14:paraId="215E7E4A">
      <w:pPr>
        <w:spacing w:line="360" w:lineRule="auto"/>
        <w:jc w:val="center"/>
        <w:rPr>
          <w:rFonts w:eastAsia="楷体_GB2312"/>
          <w:b/>
          <w:sz w:val="36"/>
          <w:szCs w:val="36"/>
        </w:rPr>
      </w:pPr>
      <w:r>
        <w:rPr>
          <w:rFonts w:hint="eastAsia" w:eastAsia="楷体_GB2312"/>
          <w:b/>
          <w:sz w:val="36"/>
          <w:szCs w:val="36"/>
        </w:rPr>
        <w:t>信托合同</w:t>
      </w:r>
    </w:p>
    <w:p w14:paraId="411F96F4">
      <w:pPr>
        <w:spacing w:line="360" w:lineRule="auto"/>
        <w:jc w:val="center"/>
        <w:rPr>
          <w:rFonts w:eastAsia="楷体_GB2312"/>
          <w:b/>
        </w:rPr>
      </w:pPr>
    </w:p>
    <w:p w14:paraId="73EEDFB6">
      <w:pPr>
        <w:spacing w:line="360" w:lineRule="auto"/>
        <w:jc w:val="center"/>
        <w:rPr>
          <w:rFonts w:eastAsia="楷体_GB2312"/>
          <w:b/>
        </w:rPr>
      </w:pPr>
      <w:r>
        <w:rPr>
          <w:rFonts w:eastAsia="楷体_GB2312"/>
          <w:b/>
        </w:rPr>
        <w:t>签署页</w:t>
      </w:r>
    </w:p>
    <w:p w14:paraId="2E09377D">
      <w:pPr>
        <w:spacing w:line="360" w:lineRule="auto"/>
        <w:rPr>
          <w:rFonts w:eastAsia="楷体_GB2312"/>
          <w:color w:val="000000"/>
        </w:rPr>
      </w:pPr>
    </w:p>
    <w:p w14:paraId="32A27F51">
      <w:pPr>
        <w:spacing w:line="360" w:lineRule="auto"/>
        <w:rPr>
          <w:rFonts w:eastAsia="楷体_GB2312"/>
          <w:color w:val="000000"/>
        </w:rPr>
      </w:pPr>
    </w:p>
    <w:p w14:paraId="1EFB1627">
      <w:pPr>
        <w:spacing w:line="360" w:lineRule="auto"/>
        <w:rPr>
          <w:rFonts w:eastAsia="楷体_GB2312"/>
          <w:color w:val="000000"/>
        </w:rPr>
      </w:pPr>
    </w:p>
    <w:p w14:paraId="218D93D6">
      <w:pPr>
        <w:spacing w:line="360" w:lineRule="auto"/>
        <w:rPr>
          <w:rFonts w:eastAsia="楷体_GB2312"/>
          <w:b/>
          <w:color w:val="000000" w:themeColor="text1"/>
          <w:kern w:val="0"/>
          <w:sz w:val="24"/>
          <w14:textFill>
            <w14:solidFill>
              <w14:schemeClr w14:val="tx1"/>
            </w14:solidFill>
          </w14:textFill>
        </w:rPr>
      </w:pPr>
      <w:r>
        <w:rPr>
          <w:rFonts w:eastAsia="楷体_GB2312"/>
          <w:b/>
          <w:color w:val="000000"/>
          <w:sz w:val="24"/>
        </w:rPr>
        <w:t>委托人</w:t>
      </w:r>
      <w:r>
        <w:rPr>
          <w:rFonts w:hint="eastAsia" w:eastAsia="楷体_GB2312"/>
          <w:b/>
          <w:color w:val="000000"/>
          <w:sz w:val="24"/>
        </w:rPr>
        <w:t>和发起机构</w:t>
      </w:r>
      <w:r>
        <w:rPr>
          <w:rFonts w:eastAsia="楷体_GB2312"/>
          <w:b/>
          <w:color w:val="000000"/>
          <w:sz w:val="24"/>
        </w:rPr>
        <w:t>：【发起机构全称】</w:t>
      </w:r>
      <w:r>
        <w:rPr>
          <w:rFonts w:eastAsia="楷体_GB2312"/>
          <w:b/>
          <w:color w:val="000000" w:themeColor="text1"/>
          <w:kern w:val="0"/>
          <w:sz w:val="24"/>
          <w14:textFill>
            <w14:solidFill>
              <w14:schemeClr w14:val="tx1"/>
            </w14:solidFill>
          </w14:textFill>
        </w:rPr>
        <w:t>（公章或合同专用章）</w:t>
      </w:r>
    </w:p>
    <w:p w14:paraId="4F6D3F06">
      <w:pPr>
        <w:spacing w:line="360" w:lineRule="auto"/>
        <w:rPr>
          <w:rFonts w:eastAsia="楷体_GB2312"/>
          <w:b/>
          <w:color w:val="000000"/>
          <w:sz w:val="24"/>
        </w:rPr>
      </w:pPr>
    </w:p>
    <w:p w14:paraId="2D17B18E">
      <w:pPr>
        <w:spacing w:line="360" w:lineRule="auto"/>
        <w:rPr>
          <w:rFonts w:eastAsia="楷体_GB2312"/>
          <w:color w:val="000000"/>
          <w:sz w:val="24"/>
        </w:rPr>
      </w:pPr>
      <w:r>
        <w:rPr>
          <w:rFonts w:eastAsia="楷体_GB2312"/>
          <w:color w:val="000000"/>
          <w:sz w:val="24"/>
        </w:rPr>
        <w:t>法定代表人或授权代理人：</w:t>
      </w:r>
    </w:p>
    <w:p w14:paraId="01036F67">
      <w:pPr>
        <w:spacing w:line="360" w:lineRule="auto"/>
        <w:rPr>
          <w:rFonts w:eastAsia="楷体_GB2312"/>
          <w:color w:val="000000"/>
          <w:sz w:val="24"/>
        </w:rPr>
      </w:pPr>
      <w:r>
        <w:rPr>
          <w:rFonts w:eastAsia="楷体_GB2312"/>
          <w:color w:val="000000"/>
          <w:sz w:val="24"/>
        </w:rPr>
        <w:t>签署日期：【  】年【  】月【  】日</w:t>
      </w:r>
    </w:p>
    <w:p w14:paraId="7BD57B96">
      <w:pPr>
        <w:widowControl/>
        <w:jc w:val="left"/>
        <w:rPr>
          <w:rFonts w:eastAsia="楷体_GB2312"/>
          <w:color w:val="000000"/>
          <w:sz w:val="24"/>
        </w:rPr>
      </w:pPr>
      <w:r>
        <w:rPr>
          <w:rFonts w:eastAsia="楷体_GB2312"/>
          <w:color w:val="000000"/>
          <w:sz w:val="24"/>
        </w:rPr>
        <w:br w:type="page"/>
      </w:r>
    </w:p>
    <w:p w14:paraId="47F31A09">
      <w:pPr>
        <w:spacing w:line="360" w:lineRule="auto"/>
        <w:rPr>
          <w:rFonts w:eastAsia="楷体_GB2312"/>
          <w:bCs/>
          <w:kern w:val="0"/>
          <w:sz w:val="24"/>
        </w:rPr>
      </w:pPr>
      <w:bookmarkStart w:id="1746" w:name="_Hlk93422272"/>
      <w:r>
        <w:rPr>
          <w:rFonts w:eastAsia="楷体_GB2312"/>
          <w:bCs/>
          <w:kern w:val="0"/>
          <w:sz w:val="24"/>
        </w:rPr>
        <w:t>（本页无正文，为</w:t>
      </w:r>
      <w:r>
        <w:rPr>
          <w:rFonts w:eastAsia="楷体_GB2312"/>
          <w:bCs/>
          <w:color w:val="000000" w:themeColor="text1"/>
          <w:kern w:val="0"/>
          <w:sz w:val="24"/>
          <w14:textFill>
            <w14:solidFill>
              <w14:schemeClr w14:val="tx1"/>
            </w14:solidFill>
          </w14:textFill>
        </w:rPr>
        <w:t>编号为</w:t>
      </w:r>
      <w:r>
        <w:rPr>
          <w:rFonts w:eastAsia="楷体_GB2312"/>
          <w:kern w:val="0"/>
          <w:sz w:val="24"/>
        </w:rPr>
        <w:t>【信托合同编号】的</w:t>
      </w:r>
      <w:r>
        <w:rPr>
          <w:rFonts w:eastAsia="楷体_GB2312"/>
          <w:bCs/>
          <w:kern w:val="0"/>
          <w:sz w:val="24"/>
        </w:rPr>
        <w:t>《【信托名称】</w:t>
      </w:r>
      <w:r>
        <w:rPr>
          <w:rFonts w:hint="eastAsia" w:eastAsia="楷体_GB2312"/>
          <w:bCs/>
          <w:kern w:val="0"/>
          <w:sz w:val="24"/>
        </w:rPr>
        <w:t>之</w:t>
      </w:r>
      <w:r>
        <w:rPr>
          <w:rFonts w:eastAsia="楷体_GB2312"/>
          <w:bCs/>
          <w:kern w:val="0"/>
          <w:sz w:val="24"/>
        </w:rPr>
        <w:t>信托合同》的签署页）</w:t>
      </w:r>
    </w:p>
    <w:bookmarkEnd w:id="1746"/>
    <w:p w14:paraId="543AA9E7">
      <w:pPr>
        <w:spacing w:line="360" w:lineRule="auto"/>
        <w:rPr>
          <w:rFonts w:eastAsia="楷体_GB2312"/>
          <w:color w:val="000000"/>
          <w:sz w:val="24"/>
        </w:rPr>
      </w:pPr>
    </w:p>
    <w:p w14:paraId="6994EC91">
      <w:pPr>
        <w:spacing w:line="360" w:lineRule="auto"/>
        <w:rPr>
          <w:rFonts w:eastAsia="楷体_GB2312"/>
          <w:color w:val="000000"/>
          <w:sz w:val="24"/>
        </w:rPr>
      </w:pPr>
    </w:p>
    <w:p w14:paraId="114454DD">
      <w:pPr>
        <w:spacing w:line="360" w:lineRule="auto"/>
        <w:rPr>
          <w:rFonts w:eastAsia="楷体_GB2312"/>
          <w:color w:val="000000"/>
          <w:sz w:val="24"/>
        </w:rPr>
      </w:pPr>
    </w:p>
    <w:p w14:paraId="05786221">
      <w:pPr>
        <w:spacing w:line="480" w:lineRule="auto"/>
        <w:rPr>
          <w:rFonts w:eastAsia="楷体_GB2312"/>
          <w:i/>
          <w:color w:val="000000"/>
        </w:rPr>
      </w:pPr>
    </w:p>
    <w:p w14:paraId="7659362C">
      <w:pPr>
        <w:spacing w:line="360" w:lineRule="auto"/>
        <w:jc w:val="center"/>
        <w:rPr>
          <w:rFonts w:eastAsia="楷体_GB2312"/>
          <w:b/>
          <w:sz w:val="36"/>
          <w:szCs w:val="36"/>
        </w:rPr>
      </w:pPr>
      <w:r>
        <w:rPr>
          <w:rFonts w:eastAsia="楷体_GB2312"/>
          <w:b/>
          <w:sz w:val="36"/>
          <w:szCs w:val="36"/>
        </w:rPr>
        <w:t>【信托名称】</w:t>
      </w:r>
    </w:p>
    <w:p w14:paraId="578019F0">
      <w:pPr>
        <w:spacing w:line="360" w:lineRule="auto"/>
        <w:jc w:val="center"/>
        <w:rPr>
          <w:rFonts w:eastAsia="楷体_GB2312"/>
          <w:b/>
          <w:sz w:val="36"/>
          <w:szCs w:val="36"/>
        </w:rPr>
      </w:pPr>
      <w:r>
        <w:rPr>
          <w:rFonts w:hint="eastAsia" w:eastAsia="楷体_GB2312"/>
          <w:b/>
          <w:sz w:val="36"/>
          <w:szCs w:val="36"/>
        </w:rPr>
        <w:t>之</w:t>
      </w:r>
    </w:p>
    <w:p w14:paraId="686FF203">
      <w:pPr>
        <w:spacing w:line="360" w:lineRule="auto"/>
        <w:jc w:val="center"/>
        <w:rPr>
          <w:rFonts w:eastAsia="楷体_GB2312"/>
          <w:b/>
          <w:sz w:val="36"/>
          <w:szCs w:val="36"/>
        </w:rPr>
      </w:pPr>
      <w:r>
        <w:rPr>
          <w:rFonts w:hint="eastAsia" w:eastAsia="楷体_GB2312"/>
          <w:b/>
          <w:sz w:val="36"/>
          <w:szCs w:val="36"/>
        </w:rPr>
        <w:t>信托合同</w:t>
      </w:r>
    </w:p>
    <w:p w14:paraId="29A45786">
      <w:pPr>
        <w:spacing w:line="360" w:lineRule="auto"/>
        <w:jc w:val="center"/>
        <w:rPr>
          <w:rFonts w:eastAsia="楷体_GB2312"/>
          <w:b/>
        </w:rPr>
      </w:pPr>
    </w:p>
    <w:p w14:paraId="20BE81E1">
      <w:pPr>
        <w:spacing w:line="360" w:lineRule="auto"/>
        <w:jc w:val="center"/>
        <w:rPr>
          <w:rFonts w:eastAsia="楷体_GB2312"/>
          <w:b/>
        </w:rPr>
      </w:pPr>
      <w:r>
        <w:rPr>
          <w:rFonts w:eastAsia="楷体_GB2312"/>
          <w:b/>
        </w:rPr>
        <w:t>签署页</w:t>
      </w:r>
    </w:p>
    <w:p w14:paraId="4789522E">
      <w:pPr>
        <w:spacing w:line="360" w:lineRule="auto"/>
        <w:rPr>
          <w:rFonts w:eastAsia="楷体_GB2312"/>
          <w:color w:val="000000"/>
          <w:sz w:val="24"/>
        </w:rPr>
      </w:pPr>
    </w:p>
    <w:p w14:paraId="7A228673">
      <w:pPr>
        <w:spacing w:line="360" w:lineRule="auto"/>
        <w:rPr>
          <w:rFonts w:eastAsia="楷体_GB2312"/>
          <w:color w:val="000000"/>
          <w:sz w:val="24"/>
        </w:rPr>
      </w:pPr>
    </w:p>
    <w:p w14:paraId="198CDE85">
      <w:pPr>
        <w:spacing w:line="360" w:lineRule="auto"/>
        <w:rPr>
          <w:rFonts w:eastAsia="楷体_GB2312"/>
          <w:color w:val="000000"/>
          <w:sz w:val="24"/>
        </w:rPr>
      </w:pPr>
    </w:p>
    <w:p w14:paraId="4C4147CB">
      <w:pPr>
        <w:spacing w:line="360" w:lineRule="auto"/>
        <w:rPr>
          <w:rFonts w:eastAsia="楷体_GB2312"/>
          <w:color w:val="000000"/>
          <w:sz w:val="24"/>
        </w:rPr>
      </w:pPr>
    </w:p>
    <w:p w14:paraId="7F6C086A">
      <w:pPr>
        <w:spacing w:line="360" w:lineRule="auto"/>
        <w:rPr>
          <w:rFonts w:eastAsia="楷体_GB2312"/>
          <w:color w:val="000000"/>
          <w:sz w:val="24"/>
        </w:rPr>
      </w:pPr>
    </w:p>
    <w:p w14:paraId="6E8BCA42">
      <w:pPr>
        <w:spacing w:line="360" w:lineRule="auto"/>
        <w:rPr>
          <w:rFonts w:eastAsia="楷体_GB2312"/>
          <w:b/>
          <w:color w:val="000000" w:themeColor="text1"/>
          <w:kern w:val="0"/>
          <w:sz w:val="24"/>
          <w14:textFill>
            <w14:solidFill>
              <w14:schemeClr w14:val="tx1"/>
            </w14:solidFill>
          </w14:textFill>
        </w:rPr>
      </w:pPr>
      <w:r>
        <w:rPr>
          <w:rFonts w:eastAsia="楷体_GB2312"/>
          <w:b/>
          <w:color w:val="000000"/>
          <w:sz w:val="24"/>
        </w:rPr>
        <w:t>受托人、受托机构和发行人：【受托机构全称】</w:t>
      </w:r>
      <w:r>
        <w:rPr>
          <w:rFonts w:eastAsia="楷体_GB2312"/>
          <w:b/>
          <w:color w:val="000000" w:themeColor="text1"/>
          <w:kern w:val="0"/>
          <w:sz w:val="24"/>
          <w14:textFill>
            <w14:solidFill>
              <w14:schemeClr w14:val="tx1"/>
            </w14:solidFill>
          </w14:textFill>
        </w:rPr>
        <w:t>（公章或合同专用章）</w:t>
      </w:r>
    </w:p>
    <w:p w14:paraId="03DB3AA5">
      <w:pPr>
        <w:spacing w:line="360" w:lineRule="auto"/>
        <w:rPr>
          <w:rFonts w:eastAsia="楷体_GB2312"/>
          <w:b/>
          <w:color w:val="000000"/>
          <w:sz w:val="24"/>
        </w:rPr>
      </w:pPr>
    </w:p>
    <w:p w14:paraId="0C657861">
      <w:pPr>
        <w:spacing w:line="360" w:lineRule="auto"/>
        <w:rPr>
          <w:rFonts w:eastAsia="楷体_GB2312"/>
          <w:color w:val="000000"/>
          <w:sz w:val="24"/>
        </w:rPr>
      </w:pPr>
      <w:r>
        <w:rPr>
          <w:rFonts w:eastAsia="楷体_GB2312"/>
          <w:color w:val="000000"/>
          <w:sz w:val="24"/>
        </w:rPr>
        <w:t>法定代表人或授权代理人：</w:t>
      </w:r>
    </w:p>
    <w:p w14:paraId="2BC7C9B3">
      <w:pPr>
        <w:spacing w:line="360" w:lineRule="auto"/>
        <w:rPr>
          <w:rFonts w:eastAsia="楷体_GB2312"/>
          <w:color w:val="000000"/>
          <w:sz w:val="24"/>
        </w:rPr>
      </w:pPr>
      <w:r>
        <w:rPr>
          <w:rFonts w:eastAsia="楷体_GB2312"/>
          <w:color w:val="000000"/>
          <w:sz w:val="24"/>
        </w:rPr>
        <w:t>签署日期：【  】年【  】月【  】日</w:t>
      </w:r>
      <w:r>
        <w:rPr>
          <w:rFonts w:eastAsia="楷体_GB2312"/>
          <w:color w:val="000000"/>
          <w:sz w:val="24"/>
        </w:rPr>
        <w:br w:type="page"/>
      </w:r>
      <w:bookmarkStart w:id="1747" w:name="_Toc201569484"/>
      <w:bookmarkStart w:id="1748" w:name="_Toc335998745"/>
    </w:p>
    <w:p w14:paraId="2A91B52A">
      <w:pPr>
        <w:spacing w:line="360" w:lineRule="auto"/>
        <w:outlineLvl w:val="0"/>
        <w:rPr>
          <w:rFonts w:eastAsia="楷体_GB2312"/>
          <w:b/>
          <w:color w:val="000000"/>
          <w:sz w:val="24"/>
        </w:rPr>
      </w:pPr>
      <w:bookmarkStart w:id="1749" w:name="_Toc225538180"/>
      <w:bookmarkStart w:id="1750" w:name="_Toc219710699"/>
      <w:r>
        <w:rPr>
          <w:rFonts w:eastAsia="楷体_GB2312"/>
          <w:b/>
          <w:color w:val="000000"/>
          <w:sz w:val="24"/>
        </w:rPr>
        <w:t>附件一：资产清单</w:t>
      </w:r>
      <w:bookmarkEnd w:id="1747"/>
      <w:bookmarkEnd w:id="1748"/>
      <w:r>
        <w:rPr>
          <w:rFonts w:eastAsia="楷体_GB2312"/>
          <w:b/>
          <w:color w:val="000000"/>
          <w:sz w:val="24"/>
        </w:rPr>
        <w:t>格式</w:t>
      </w:r>
      <w:bookmarkEnd w:id="1749"/>
      <w:bookmarkEnd w:id="1750"/>
    </w:p>
    <w:p w14:paraId="32DFDDA2">
      <w:pPr>
        <w:spacing w:line="360" w:lineRule="auto"/>
        <w:rPr>
          <w:rFonts w:eastAsia="楷体_GB2312"/>
          <w:color w:val="000000"/>
          <w:sz w:val="24"/>
        </w:rPr>
      </w:pPr>
    </w:p>
    <w:p w14:paraId="51464D5E">
      <w:pPr>
        <w:spacing w:line="360" w:lineRule="auto"/>
        <w:rPr>
          <w:rFonts w:eastAsia="楷体_GB2312"/>
          <w:b/>
          <w:i/>
          <w:color w:val="FF0000"/>
          <w:sz w:val="24"/>
        </w:rPr>
      </w:pPr>
      <w:r>
        <w:rPr>
          <w:rFonts w:eastAsia="楷体_GB2312"/>
          <w:color w:val="000000"/>
          <w:sz w:val="24"/>
        </w:rPr>
        <w:t>就“委托人</w:t>
      </w:r>
      <w:r>
        <w:rPr>
          <w:rFonts w:eastAsia="楷体_GB2312"/>
          <w:sz w:val="24"/>
        </w:rPr>
        <w:t>”根据“《信托合同》”信托予“受托人”的“资产池”而言，“资产清单”应至少包括以下信息（具体以实际交付为准）：</w:t>
      </w:r>
    </w:p>
    <w:p w14:paraId="1112EDDC">
      <w:pPr>
        <w:spacing w:line="360" w:lineRule="auto"/>
        <w:rPr>
          <w:rFonts w:eastAsia="楷体_GB2312"/>
          <w:b/>
          <w:bCs/>
          <w:i/>
          <w:iCs/>
          <w:color w:val="FF0000"/>
          <w:sz w:val="24"/>
        </w:rPr>
      </w:pPr>
      <w:r>
        <w:rPr>
          <w:rFonts w:eastAsia="楷体_GB2312"/>
          <w:b/>
          <w:bCs/>
          <w:i/>
          <w:iCs/>
          <w:color w:val="FF0000"/>
          <w:sz w:val="24"/>
        </w:rPr>
        <w:t>【注：</w:t>
      </w:r>
      <w:bookmarkStart w:id="1751" w:name="_Hlk221975555"/>
      <w:r>
        <w:rPr>
          <w:rFonts w:eastAsia="楷体_GB2312"/>
          <w:b/>
          <w:bCs/>
          <w:i/>
          <w:iCs/>
          <w:color w:val="FF0000"/>
          <w:sz w:val="24"/>
        </w:rPr>
        <w:t>根据具体项目补充相应的资产清单格式</w:t>
      </w:r>
      <w:bookmarkEnd w:id="1751"/>
      <w:r>
        <w:rPr>
          <w:rFonts w:hint="eastAsia" w:eastAsia="楷体_GB2312"/>
          <w:b/>
          <w:bCs/>
          <w:i/>
          <w:iCs/>
          <w:color w:val="FF0000"/>
          <w:sz w:val="24"/>
        </w:rPr>
        <w:t>。</w:t>
      </w:r>
      <w:r>
        <w:rPr>
          <w:rFonts w:eastAsia="楷体_GB2312"/>
          <w:b/>
          <w:bCs/>
          <w:i/>
          <w:iCs/>
          <w:color w:val="FF0000"/>
          <w:sz w:val="24"/>
        </w:rPr>
        <w:t>】</w:t>
      </w:r>
    </w:p>
    <w:p w14:paraId="1E3BDB2E">
      <w:pPr>
        <w:widowControl/>
        <w:jc w:val="left"/>
        <w:rPr>
          <w:rFonts w:eastAsia="楷体_GB2312"/>
          <w:b/>
          <w:color w:val="000000"/>
          <w:sz w:val="24"/>
        </w:rPr>
      </w:pPr>
      <w:r>
        <w:rPr>
          <w:rFonts w:eastAsia="楷体_GB2312"/>
          <w:color w:val="000000"/>
          <w:sz w:val="24"/>
        </w:rPr>
        <w:br w:type="page"/>
      </w:r>
      <w:bookmarkStart w:id="1752" w:name="_Toc335998746"/>
    </w:p>
    <w:p w14:paraId="79542769">
      <w:pPr>
        <w:spacing w:line="360" w:lineRule="auto"/>
        <w:outlineLvl w:val="0"/>
        <w:rPr>
          <w:rFonts w:eastAsia="楷体_GB2312"/>
          <w:b/>
          <w:color w:val="000000"/>
          <w:sz w:val="24"/>
        </w:rPr>
      </w:pPr>
      <w:bookmarkStart w:id="1753" w:name="_Toc225538181"/>
      <w:bookmarkStart w:id="1754" w:name="_Toc219710700"/>
      <w:r>
        <w:rPr>
          <w:rFonts w:eastAsia="楷体_GB2312"/>
          <w:b/>
          <w:color w:val="000000"/>
          <w:sz w:val="24"/>
        </w:rPr>
        <w:t>附件二：确认函格式</w:t>
      </w:r>
      <w:bookmarkEnd w:id="1752"/>
      <w:bookmarkEnd w:id="1753"/>
      <w:bookmarkEnd w:id="1754"/>
    </w:p>
    <w:p w14:paraId="2C78CDB9">
      <w:pPr>
        <w:spacing w:line="360" w:lineRule="auto"/>
        <w:jc w:val="center"/>
        <w:rPr>
          <w:rFonts w:eastAsia="楷体_GB2312"/>
          <w:b/>
          <w:color w:val="000000"/>
          <w:sz w:val="24"/>
        </w:rPr>
      </w:pPr>
      <w:r>
        <w:rPr>
          <w:rFonts w:eastAsia="楷体_GB2312"/>
          <w:b/>
          <w:color w:val="000000"/>
          <w:sz w:val="24"/>
        </w:rPr>
        <w:t>确认函</w:t>
      </w:r>
    </w:p>
    <w:p w14:paraId="3178FF4F">
      <w:pPr>
        <w:spacing w:line="360" w:lineRule="auto"/>
        <w:jc w:val="center"/>
        <w:rPr>
          <w:rFonts w:eastAsia="楷体_GB2312"/>
          <w:color w:val="000000"/>
          <w:sz w:val="24"/>
        </w:rPr>
      </w:pPr>
    </w:p>
    <w:p w14:paraId="09E75005">
      <w:pPr>
        <w:spacing w:line="360" w:lineRule="auto"/>
        <w:rPr>
          <w:rFonts w:eastAsia="楷体_GB2312"/>
          <w:color w:val="000000"/>
          <w:sz w:val="24"/>
        </w:rPr>
      </w:pPr>
      <w:r>
        <w:rPr>
          <w:rFonts w:eastAsia="楷体_GB2312"/>
          <w:color w:val="000000"/>
          <w:sz w:val="24"/>
        </w:rPr>
        <w:t>致：</w:t>
      </w:r>
      <w:r>
        <w:rPr>
          <w:rFonts w:eastAsia="楷体_GB2312"/>
          <w:color w:val="000000"/>
          <w:sz w:val="24"/>
        </w:rPr>
        <w:tab/>
      </w:r>
      <w:r>
        <w:rPr>
          <w:rFonts w:eastAsia="楷体_GB2312"/>
          <w:color w:val="000000"/>
          <w:sz w:val="24"/>
        </w:rPr>
        <w:t>【发起机构全称】（“委托人”）</w:t>
      </w:r>
    </w:p>
    <w:p w14:paraId="09F58CE3">
      <w:pPr>
        <w:spacing w:line="360" w:lineRule="auto"/>
        <w:rPr>
          <w:rFonts w:eastAsia="楷体_GB2312"/>
          <w:color w:val="000000"/>
          <w:sz w:val="24"/>
        </w:rPr>
      </w:pPr>
    </w:p>
    <w:p w14:paraId="2C2A955E">
      <w:pPr>
        <w:spacing w:line="360" w:lineRule="auto"/>
        <w:rPr>
          <w:rFonts w:eastAsia="楷体_GB2312"/>
          <w:color w:val="000000"/>
          <w:sz w:val="24"/>
        </w:rPr>
      </w:pPr>
      <w:r>
        <w:rPr>
          <w:rFonts w:eastAsia="楷体_GB2312"/>
          <w:color w:val="000000"/>
          <w:sz w:val="24"/>
        </w:rPr>
        <w:t>日期_______________</w:t>
      </w:r>
    </w:p>
    <w:p w14:paraId="78B0F3C3">
      <w:pPr>
        <w:spacing w:line="360" w:lineRule="auto"/>
        <w:rPr>
          <w:rFonts w:eastAsia="楷体_GB2312"/>
          <w:color w:val="000000"/>
          <w:sz w:val="24"/>
        </w:rPr>
      </w:pPr>
    </w:p>
    <w:p w14:paraId="37847E05">
      <w:pPr>
        <w:spacing w:line="360" w:lineRule="auto"/>
        <w:ind w:firstLine="480" w:firstLineChars="200"/>
        <w:rPr>
          <w:rFonts w:eastAsia="楷体_GB2312"/>
          <w:color w:val="000000"/>
          <w:sz w:val="24"/>
        </w:rPr>
      </w:pPr>
      <w:r>
        <w:rPr>
          <w:rFonts w:eastAsia="楷体_GB2312"/>
          <w:color w:val="000000"/>
          <w:sz w:val="24"/>
        </w:rPr>
        <w:t>根据【发起机构全称】（“委托人”）、【受托机构全称】（“受托人”）签署的编号为【信托合同编号】的《【信托名称】</w:t>
      </w:r>
      <w:r>
        <w:rPr>
          <w:rFonts w:hint="eastAsia" w:eastAsia="楷体_GB2312"/>
          <w:color w:val="000000"/>
          <w:sz w:val="24"/>
        </w:rPr>
        <w:t>之</w:t>
      </w:r>
      <w:r>
        <w:rPr>
          <w:rFonts w:eastAsia="楷体_GB2312"/>
          <w:color w:val="000000"/>
          <w:sz w:val="24"/>
        </w:rPr>
        <w:t>信托合同》（“《信托合同》”）第</w:t>
      </w:r>
      <w:r>
        <w:rPr>
          <w:rFonts w:eastAsia="楷体_GB2312"/>
          <w:color w:val="000000"/>
          <w:sz w:val="24"/>
        </w:rPr>
        <w:fldChar w:fldCharType="begin"/>
      </w:r>
      <w:r>
        <w:rPr>
          <w:rFonts w:eastAsia="楷体_GB2312"/>
          <w:color w:val="000000"/>
          <w:sz w:val="24"/>
        </w:rPr>
        <w:instrText xml:space="preserve"> REF _Ref221086829 \r \h  \* MERGEFORMAT </w:instrText>
      </w:r>
      <w:r>
        <w:rPr>
          <w:rFonts w:eastAsia="楷体_GB2312"/>
          <w:color w:val="000000"/>
          <w:sz w:val="24"/>
        </w:rPr>
        <w:fldChar w:fldCharType="separate"/>
      </w:r>
      <w:r>
        <w:rPr>
          <w:rFonts w:eastAsia="楷体_GB2312"/>
          <w:color w:val="000000"/>
          <w:sz w:val="24"/>
        </w:rPr>
        <w:t>3.10.1</w:t>
      </w:r>
      <w:r>
        <w:rPr>
          <w:rFonts w:eastAsia="楷体_GB2312"/>
          <w:color w:val="000000"/>
          <w:sz w:val="24"/>
        </w:rPr>
        <w:fldChar w:fldCharType="end"/>
      </w:r>
      <w:r>
        <w:rPr>
          <w:rFonts w:eastAsia="楷体_GB2312"/>
          <w:color w:val="000000"/>
          <w:sz w:val="24"/>
        </w:rPr>
        <w:t>款的约定，贵行（作为“委托人”）应向我公司（作为“受托人”）交付“资产清单”。</w:t>
      </w:r>
    </w:p>
    <w:p w14:paraId="70E35B28">
      <w:pPr>
        <w:spacing w:line="360" w:lineRule="auto"/>
        <w:ind w:firstLine="480" w:firstLineChars="200"/>
        <w:rPr>
          <w:rFonts w:eastAsia="楷体_GB2312"/>
          <w:color w:val="000000"/>
          <w:sz w:val="24"/>
        </w:rPr>
      </w:pPr>
    </w:p>
    <w:p w14:paraId="5D2D0976">
      <w:pPr>
        <w:spacing w:line="360" w:lineRule="auto"/>
        <w:ind w:firstLine="480" w:firstLineChars="200"/>
        <w:rPr>
          <w:rFonts w:eastAsia="楷体_GB2312"/>
          <w:color w:val="000000"/>
          <w:sz w:val="24"/>
        </w:rPr>
      </w:pPr>
      <w:r>
        <w:rPr>
          <w:rFonts w:eastAsia="楷体_GB2312"/>
          <w:color w:val="000000"/>
          <w:sz w:val="24"/>
        </w:rPr>
        <w:t>兹确认我们已经根据“《信托合同》”的约定收到“资产清单”。</w:t>
      </w:r>
    </w:p>
    <w:p w14:paraId="23D0DE7E">
      <w:pPr>
        <w:spacing w:line="360" w:lineRule="auto"/>
        <w:ind w:firstLine="480" w:firstLineChars="200"/>
        <w:rPr>
          <w:rFonts w:eastAsia="楷体_GB2312"/>
          <w:color w:val="000000"/>
          <w:sz w:val="24"/>
        </w:rPr>
      </w:pPr>
    </w:p>
    <w:p w14:paraId="1EF44D76">
      <w:pPr>
        <w:spacing w:line="360" w:lineRule="auto"/>
        <w:ind w:firstLine="480" w:firstLineChars="200"/>
        <w:rPr>
          <w:rFonts w:eastAsia="楷体_GB2312"/>
          <w:color w:val="000000"/>
          <w:sz w:val="24"/>
        </w:rPr>
      </w:pPr>
      <w:r>
        <w:rPr>
          <w:rFonts w:eastAsia="楷体_GB2312"/>
          <w:color w:val="000000"/>
          <w:sz w:val="24"/>
        </w:rPr>
        <w:t>若无相反定义，此处使用的词语和表述与【】年【】月【】日签署的“《信托合同》”和《【信托名称】主定义表》中的相同词语和表述具有相同含义。</w:t>
      </w:r>
    </w:p>
    <w:p w14:paraId="1D4C5880">
      <w:pPr>
        <w:spacing w:line="360" w:lineRule="auto"/>
        <w:rPr>
          <w:rFonts w:eastAsia="楷体_GB2312"/>
          <w:b/>
          <w:color w:val="000000"/>
          <w:sz w:val="28"/>
          <w:szCs w:val="28"/>
        </w:rPr>
      </w:pPr>
    </w:p>
    <w:p w14:paraId="14EBD58F">
      <w:pPr>
        <w:spacing w:line="360" w:lineRule="auto"/>
        <w:rPr>
          <w:rFonts w:eastAsia="楷体_GB2312"/>
          <w:b/>
          <w:color w:val="000000"/>
          <w:sz w:val="28"/>
          <w:szCs w:val="28"/>
        </w:rPr>
      </w:pPr>
    </w:p>
    <w:p w14:paraId="366C8520">
      <w:pPr>
        <w:spacing w:line="360" w:lineRule="auto"/>
        <w:jc w:val="right"/>
        <w:rPr>
          <w:rFonts w:eastAsia="楷体_GB2312"/>
          <w:color w:val="000000"/>
          <w:sz w:val="24"/>
        </w:rPr>
      </w:pPr>
      <w:r>
        <w:rPr>
          <w:rFonts w:eastAsia="楷体_GB2312"/>
          <w:b/>
          <w:color w:val="000000"/>
          <w:sz w:val="24"/>
        </w:rPr>
        <w:t>受托人：【受托机构全称】</w:t>
      </w:r>
    </w:p>
    <w:p w14:paraId="7C3BDC9C">
      <w:pPr>
        <w:spacing w:line="360" w:lineRule="auto"/>
        <w:jc w:val="right"/>
        <w:rPr>
          <w:rFonts w:eastAsia="楷体_GB2312"/>
          <w:color w:val="000000"/>
          <w:sz w:val="24"/>
        </w:rPr>
      </w:pPr>
    </w:p>
    <w:p w14:paraId="1F8B5186">
      <w:pPr>
        <w:spacing w:line="360" w:lineRule="auto"/>
        <w:jc w:val="right"/>
        <w:rPr>
          <w:rFonts w:eastAsia="楷体_GB2312"/>
          <w:color w:val="000000"/>
          <w:sz w:val="24"/>
        </w:rPr>
      </w:pPr>
      <w:r>
        <w:rPr>
          <w:rFonts w:eastAsia="楷体_GB2312"/>
          <w:color w:val="000000"/>
          <w:sz w:val="24"/>
        </w:rPr>
        <w:t>法定代表人或授权代理人：</w:t>
      </w:r>
    </w:p>
    <w:p w14:paraId="3EC3371B">
      <w:pPr>
        <w:spacing w:line="360" w:lineRule="auto"/>
        <w:jc w:val="right"/>
        <w:rPr>
          <w:rFonts w:eastAsia="楷体_GB2312"/>
          <w:color w:val="000000"/>
          <w:sz w:val="24"/>
        </w:rPr>
      </w:pPr>
      <w:r>
        <w:rPr>
          <w:rFonts w:eastAsia="楷体_GB2312"/>
          <w:color w:val="000000"/>
          <w:sz w:val="24"/>
        </w:rPr>
        <w:t>【  】年【  】月【  】日</w:t>
      </w:r>
    </w:p>
    <w:p w14:paraId="6225CDD7">
      <w:pPr>
        <w:spacing w:line="360" w:lineRule="auto"/>
        <w:outlineLvl w:val="0"/>
        <w:rPr>
          <w:rFonts w:eastAsia="楷体_GB2312"/>
          <w:b/>
          <w:color w:val="000000"/>
          <w:sz w:val="24"/>
        </w:rPr>
      </w:pPr>
      <w:r>
        <w:rPr>
          <w:rFonts w:eastAsia="楷体_GB2312"/>
          <w:color w:val="000000"/>
          <w:sz w:val="24"/>
        </w:rPr>
        <w:br w:type="page"/>
      </w:r>
      <w:bookmarkStart w:id="1755" w:name="_Toc219710701"/>
      <w:bookmarkStart w:id="1756" w:name="_Toc225538182"/>
      <w:bookmarkStart w:id="1757" w:name="_Toc203893111"/>
      <w:bookmarkStart w:id="1758" w:name="_Toc201569485"/>
      <w:bookmarkStart w:id="1759" w:name="_Toc202174951"/>
      <w:bookmarkStart w:id="1760" w:name="_Toc335998747"/>
      <w:r>
        <w:rPr>
          <w:rFonts w:eastAsia="楷体_GB2312"/>
          <w:b/>
          <w:color w:val="000000"/>
          <w:sz w:val="24"/>
        </w:rPr>
        <w:t>附件三：权利完善通知的格式</w:t>
      </w:r>
      <w:bookmarkEnd w:id="1755"/>
      <w:bookmarkEnd w:id="1756"/>
    </w:p>
    <w:p w14:paraId="5F569270">
      <w:pPr>
        <w:pStyle w:val="144"/>
        <w:numPr>
          <w:ilvl w:val="0"/>
          <w:numId w:val="40"/>
        </w:numPr>
        <w:spacing w:line="360" w:lineRule="auto"/>
        <w:ind w:firstLineChars="0"/>
        <w:jc w:val="center"/>
        <w:rPr>
          <w:rFonts w:eastAsia="楷体_GB2312"/>
          <w:b/>
          <w:color w:val="000000"/>
          <w:sz w:val="24"/>
        </w:rPr>
      </w:pPr>
      <w:r>
        <w:rPr>
          <w:rFonts w:eastAsia="楷体_GB2312"/>
          <w:b/>
          <w:color w:val="000000"/>
          <w:sz w:val="24"/>
        </w:rPr>
        <w:t>权利完善通知格式</w:t>
      </w:r>
    </w:p>
    <w:p w14:paraId="173CAAA8">
      <w:pPr>
        <w:spacing w:line="360" w:lineRule="auto"/>
        <w:jc w:val="center"/>
        <w:rPr>
          <w:rFonts w:eastAsia="楷体_GB2312"/>
          <w:b/>
          <w:color w:val="000000"/>
          <w:sz w:val="24"/>
        </w:rPr>
      </w:pPr>
    </w:p>
    <w:p w14:paraId="0D6BABF4">
      <w:pPr>
        <w:spacing w:line="360" w:lineRule="auto"/>
        <w:rPr>
          <w:rFonts w:eastAsia="楷体_GB2312"/>
          <w:color w:val="000000"/>
          <w:sz w:val="24"/>
        </w:rPr>
      </w:pPr>
      <w:r>
        <w:rPr>
          <w:rFonts w:eastAsia="楷体_GB2312"/>
          <w:color w:val="000000"/>
          <w:sz w:val="24"/>
        </w:rPr>
        <w:t>（适用于：1、通知对象为“借款人”；2、由“【发起机构简称】”通知。）</w:t>
      </w:r>
    </w:p>
    <w:p w14:paraId="76B0569A">
      <w:pPr>
        <w:spacing w:line="360" w:lineRule="auto"/>
        <w:rPr>
          <w:rFonts w:eastAsia="楷体_GB2312"/>
          <w:b/>
          <w:color w:val="000000"/>
          <w:sz w:val="24"/>
        </w:rPr>
      </w:pPr>
    </w:p>
    <w:p w14:paraId="65F73D2A">
      <w:pPr>
        <w:spacing w:line="360" w:lineRule="auto"/>
        <w:rPr>
          <w:rFonts w:eastAsia="楷体_GB2312"/>
          <w:b/>
          <w:color w:val="000000"/>
          <w:sz w:val="24"/>
        </w:rPr>
      </w:pPr>
      <w:r>
        <w:rPr>
          <w:rFonts w:eastAsia="楷体_GB2312"/>
          <w:b/>
          <w:color w:val="000000"/>
          <w:sz w:val="24"/>
        </w:rPr>
        <w:t>致：【相关“借款人”的姓名/名称和住址/注册地址】</w:t>
      </w:r>
    </w:p>
    <w:p w14:paraId="58F271C3">
      <w:pPr>
        <w:spacing w:line="360" w:lineRule="auto"/>
        <w:rPr>
          <w:rFonts w:eastAsia="楷体_GB2312"/>
          <w:b/>
          <w:color w:val="000000"/>
          <w:sz w:val="24"/>
        </w:rPr>
      </w:pPr>
      <w:r>
        <w:rPr>
          <w:rFonts w:eastAsia="楷体_GB2312"/>
          <w:b/>
          <w:color w:val="000000"/>
          <w:sz w:val="24"/>
        </w:rPr>
        <w:t>抄送：【受托机构全称】</w:t>
      </w:r>
    </w:p>
    <w:p w14:paraId="68032931">
      <w:pPr>
        <w:spacing w:line="360" w:lineRule="auto"/>
        <w:rPr>
          <w:rFonts w:eastAsia="楷体_GB2312"/>
          <w:b/>
          <w:color w:val="000000"/>
          <w:sz w:val="24"/>
        </w:rPr>
      </w:pPr>
      <w:r>
        <w:rPr>
          <w:rFonts w:eastAsia="楷体_GB2312"/>
          <w:b/>
          <w:color w:val="000000"/>
          <w:sz w:val="24"/>
        </w:rPr>
        <w:t>日期_______________</w:t>
      </w:r>
    </w:p>
    <w:p w14:paraId="5C503775">
      <w:pPr>
        <w:spacing w:line="360" w:lineRule="auto"/>
        <w:rPr>
          <w:rFonts w:eastAsia="楷体_GB2312"/>
          <w:b/>
          <w:color w:val="000000"/>
          <w:sz w:val="24"/>
        </w:rPr>
      </w:pPr>
    </w:p>
    <w:p w14:paraId="0C6C6A9C">
      <w:pPr>
        <w:spacing w:line="360" w:lineRule="auto"/>
        <w:rPr>
          <w:rFonts w:eastAsia="楷体_GB2312"/>
          <w:b/>
          <w:color w:val="000000"/>
          <w:sz w:val="24"/>
        </w:rPr>
      </w:pPr>
      <w:r>
        <w:rPr>
          <w:rFonts w:eastAsia="楷体_GB2312"/>
          <w:b/>
          <w:color w:val="000000"/>
          <w:sz w:val="24"/>
        </w:rPr>
        <w:t>敬启者</w:t>
      </w:r>
    </w:p>
    <w:p w14:paraId="364293C0">
      <w:pPr>
        <w:spacing w:line="360" w:lineRule="auto"/>
        <w:rPr>
          <w:rFonts w:eastAsia="楷体_GB2312"/>
          <w:color w:val="000000"/>
          <w:sz w:val="24"/>
        </w:rPr>
      </w:pPr>
    </w:p>
    <w:p w14:paraId="332B059E">
      <w:pPr>
        <w:spacing w:line="360" w:lineRule="auto"/>
        <w:ind w:firstLine="420"/>
        <w:rPr>
          <w:rFonts w:eastAsia="楷体_GB2312"/>
          <w:color w:val="000000"/>
          <w:sz w:val="24"/>
        </w:rPr>
      </w:pPr>
      <w:r>
        <w:rPr>
          <w:rFonts w:eastAsia="楷体_GB2312"/>
          <w:color w:val="000000"/>
          <w:sz w:val="24"/>
        </w:rPr>
        <w:t>根据【发起机构全称】（“【发起机构简称】”）与【受托机构全称】（“【受托机构简称】”）于【】年【】月【】日签署的编号为【信托合同编号】的《【信托名称】</w:t>
      </w:r>
      <w:r>
        <w:rPr>
          <w:rFonts w:hint="eastAsia" w:eastAsia="楷体_GB2312"/>
          <w:color w:val="000000"/>
          <w:sz w:val="24"/>
        </w:rPr>
        <w:t>之</w:t>
      </w:r>
      <w:r>
        <w:rPr>
          <w:rFonts w:eastAsia="楷体_GB2312"/>
          <w:color w:val="000000"/>
          <w:sz w:val="24"/>
        </w:rPr>
        <w:t>信托合同》（“《信托合同》”）以及【发起机构简称】和【受托机构简称】于【】年【】月【】日在【】刊登的信托公告（“信托公告”），【发起机构简称】已将您的如下债务全部信托予【受托机构简称】：</w:t>
      </w:r>
    </w:p>
    <w:p w14:paraId="14834236">
      <w:pPr>
        <w:spacing w:line="360" w:lineRule="auto"/>
        <w:ind w:firstLine="420"/>
        <w:rPr>
          <w:rFonts w:eastAsia="楷体_GB2312"/>
          <w:color w:val="000000"/>
          <w:sz w:val="24"/>
        </w:rPr>
      </w:pPr>
      <w:r>
        <w:rPr>
          <w:rFonts w:eastAsia="楷体_GB2312"/>
          <w:b/>
          <w:bCs/>
          <w:i/>
          <w:iCs/>
          <w:color w:val="FF0000"/>
          <w:sz w:val="24"/>
        </w:rPr>
        <w:t>【适用于“个人住房抵押贷款”/“小微企业贷款”/“个人消费类贷款”/“个人经营贷款”/“个人汽车贷款”】</w:t>
      </w:r>
      <w:r>
        <w:rPr>
          <w:rFonts w:eastAsia="楷体_GB2312"/>
          <w:color w:val="000000"/>
          <w:sz w:val="24"/>
        </w:rPr>
        <w:t>“贷款合同”项下的“贷款”债权（具体信息见本通知附件）及其相关的“附属权益”（现有的和将来的、实际的和或有的，如有）。</w:t>
      </w:r>
    </w:p>
    <w:p w14:paraId="0A8FD3DB">
      <w:pPr>
        <w:spacing w:line="360" w:lineRule="auto"/>
        <w:ind w:firstLine="420"/>
        <w:rPr>
          <w:rFonts w:eastAsia="楷体_GB2312"/>
          <w:color w:val="000000"/>
          <w:sz w:val="24"/>
        </w:rPr>
      </w:pPr>
      <w:r>
        <w:rPr>
          <w:rFonts w:eastAsia="楷体_GB2312"/>
          <w:b/>
          <w:bCs/>
          <w:i/>
          <w:iCs/>
          <w:color w:val="FF0000"/>
          <w:sz w:val="24"/>
        </w:rPr>
        <w:t>【适用于“信用卡债权”】</w:t>
      </w:r>
      <w:r>
        <w:rPr>
          <w:rFonts w:eastAsia="楷体_GB2312"/>
          <w:color w:val="000000"/>
          <w:sz w:val="24"/>
        </w:rPr>
        <w:t>“信用卡账户”项下全部债权（简称“信用卡债权”，具体信息见本通知附件）（现有的和将来的、实际的和或有的，如有）。</w:t>
      </w:r>
    </w:p>
    <w:p w14:paraId="4ABF41EA">
      <w:pPr>
        <w:spacing w:line="360" w:lineRule="auto"/>
        <w:ind w:firstLine="420"/>
        <w:rPr>
          <w:rFonts w:eastAsia="楷体_GB2312"/>
          <w:color w:val="000000"/>
          <w:sz w:val="24"/>
        </w:rPr>
      </w:pPr>
      <w:r>
        <w:rPr>
          <w:rFonts w:eastAsia="楷体_GB2312"/>
          <w:color w:val="000000"/>
          <w:sz w:val="24"/>
        </w:rPr>
        <w:t>自【】年【】月【】日起，与该笔“贷款”及其相关的“附属权益”（如有）有关的所有权利，均由【受托机构简称】（为资产支持证券持有人的利益）享有。</w:t>
      </w:r>
    </w:p>
    <w:p w14:paraId="2650812E">
      <w:pPr>
        <w:spacing w:line="360" w:lineRule="auto"/>
        <w:ind w:firstLine="420"/>
        <w:rPr>
          <w:rFonts w:eastAsia="楷体_GB2312"/>
          <w:color w:val="000000"/>
          <w:sz w:val="24"/>
        </w:rPr>
      </w:pPr>
      <w:r>
        <w:rPr>
          <w:rFonts w:eastAsia="楷体_GB2312"/>
          <w:b/>
          <w:bCs/>
          <w:i/>
          <w:iCs/>
          <w:color w:val="FF0000"/>
          <w:sz w:val="24"/>
        </w:rPr>
        <w:t>【注：本段适用于</w:t>
      </w:r>
      <w:bookmarkStart w:id="1761" w:name="_Hlk61981460"/>
      <w:r>
        <w:rPr>
          <w:rFonts w:eastAsia="楷体_GB2312"/>
          <w:b/>
          <w:bCs/>
          <w:i/>
          <w:iCs/>
          <w:color w:val="FF0000"/>
          <w:sz w:val="24"/>
        </w:rPr>
        <w:t>“权利完善事件”第(c)项及第(d)项</w:t>
      </w:r>
      <w:bookmarkEnd w:id="1761"/>
      <w:r>
        <w:rPr>
          <w:rFonts w:eastAsia="楷体_GB2312"/>
          <w:b/>
          <w:bCs/>
          <w:i/>
          <w:iCs/>
          <w:color w:val="FF0000"/>
          <w:sz w:val="24"/>
        </w:rPr>
        <w:t>发生之情形】</w:t>
      </w:r>
      <w:r>
        <w:rPr>
          <w:rFonts w:eastAsia="楷体_GB2312"/>
          <w:color w:val="000000"/>
          <w:sz w:val="24"/>
        </w:rPr>
        <w:t>根据【发起机构简称】与【受托机构简称】于【】年【】月【】日签署的编号为【服务合同编号】的《【信托名称】服务合同》（“《服务合同》”），【受托机构简称】已委托【发起机构简称】担任“贷款服务机构”，继续处理与您的该笔“贷款”相关的未来回收工作（包括根据“贷款合同”的约定向您主张权利），直到“贷款”全部还清或我们向您发出进一步通知。</w:t>
      </w:r>
    </w:p>
    <w:p w14:paraId="79788D03">
      <w:pPr>
        <w:spacing w:line="360" w:lineRule="auto"/>
        <w:ind w:firstLine="420"/>
        <w:rPr>
          <w:rFonts w:eastAsia="楷体_GB2312"/>
          <w:color w:val="000000"/>
          <w:sz w:val="24"/>
        </w:rPr>
      </w:pPr>
      <w:r>
        <w:rPr>
          <w:rFonts w:eastAsia="楷体_GB2312"/>
          <w:b/>
          <w:bCs/>
          <w:i/>
          <w:iCs/>
          <w:color w:val="FF0000"/>
          <w:sz w:val="24"/>
        </w:rPr>
        <w:t>【注：本段适用于“权利完善事件”第(a)项及第(b)项发生之情形】</w:t>
      </w:r>
      <w:r>
        <w:rPr>
          <w:rFonts w:eastAsia="楷体_GB2312"/>
          <w:color w:val="000000"/>
          <w:sz w:val="24"/>
        </w:rPr>
        <w:t>自【】年【】月【】日起，您应向【受托机构简称】指定的如下信托账户还款，直到“贷款”全部还清或我们向您发出进一步通知。</w:t>
      </w:r>
    </w:p>
    <w:p w14:paraId="20C69AFC">
      <w:pPr>
        <w:spacing w:line="360" w:lineRule="auto"/>
        <w:ind w:firstLine="420"/>
        <w:rPr>
          <w:rFonts w:eastAsia="楷体_GB2312"/>
          <w:color w:val="000000"/>
          <w:sz w:val="24"/>
        </w:rPr>
      </w:pPr>
    </w:p>
    <w:p w14:paraId="7E3488CA">
      <w:pPr>
        <w:spacing w:line="360" w:lineRule="auto"/>
        <w:ind w:firstLine="420"/>
        <w:rPr>
          <w:rFonts w:eastAsia="楷体_GB2312"/>
          <w:color w:val="000000"/>
          <w:sz w:val="24"/>
        </w:rPr>
      </w:pPr>
      <w:r>
        <w:rPr>
          <w:rFonts w:eastAsia="楷体_GB2312"/>
          <w:color w:val="000000"/>
          <w:sz w:val="24"/>
        </w:rPr>
        <w:t>“信托账户”的信息如下：</w:t>
      </w:r>
    </w:p>
    <w:p w14:paraId="4070A605">
      <w:pPr>
        <w:spacing w:line="360" w:lineRule="auto"/>
        <w:ind w:firstLine="420"/>
        <w:rPr>
          <w:rFonts w:eastAsia="楷体_GB2312"/>
          <w:color w:val="000000"/>
          <w:sz w:val="24"/>
        </w:rPr>
      </w:pPr>
      <w:r>
        <w:rPr>
          <w:rFonts w:eastAsia="楷体_GB2312"/>
          <w:color w:val="000000"/>
          <w:sz w:val="24"/>
        </w:rPr>
        <w:t>账号：【】</w:t>
      </w:r>
    </w:p>
    <w:p w14:paraId="3C9DD260">
      <w:pPr>
        <w:spacing w:line="360" w:lineRule="auto"/>
        <w:ind w:firstLine="420"/>
        <w:rPr>
          <w:rFonts w:eastAsia="楷体_GB2312"/>
          <w:color w:val="000000"/>
          <w:sz w:val="24"/>
        </w:rPr>
      </w:pPr>
      <w:r>
        <w:rPr>
          <w:rFonts w:eastAsia="楷体_GB2312"/>
          <w:color w:val="000000"/>
          <w:sz w:val="24"/>
        </w:rPr>
        <w:t>户名：【】</w:t>
      </w:r>
    </w:p>
    <w:p w14:paraId="0D9C8E6F">
      <w:pPr>
        <w:spacing w:line="360" w:lineRule="auto"/>
        <w:ind w:firstLine="420"/>
        <w:rPr>
          <w:rFonts w:eastAsia="楷体_GB2312"/>
          <w:color w:val="000000"/>
          <w:sz w:val="24"/>
        </w:rPr>
      </w:pPr>
      <w:r>
        <w:rPr>
          <w:rFonts w:eastAsia="楷体_GB2312"/>
          <w:color w:val="000000"/>
          <w:sz w:val="24"/>
        </w:rPr>
        <w:t>开户行：【】</w:t>
      </w:r>
    </w:p>
    <w:p w14:paraId="4A10FED5">
      <w:pPr>
        <w:spacing w:line="360" w:lineRule="auto"/>
        <w:ind w:firstLine="420"/>
        <w:rPr>
          <w:rFonts w:eastAsia="楷体_GB2312"/>
          <w:color w:val="000000"/>
          <w:sz w:val="24"/>
        </w:rPr>
      </w:pPr>
    </w:p>
    <w:p w14:paraId="090D084D">
      <w:pPr>
        <w:spacing w:line="360" w:lineRule="auto"/>
        <w:ind w:firstLine="420"/>
        <w:rPr>
          <w:rFonts w:eastAsia="楷体_GB2312"/>
          <w:color w:val="000000"/>
          <w:sz w:val="24"/>
        </w:rPr>
      </w:pPr>
      <w:r>
        <w:rPr>
          <w:rFonts w:eastAsia="楷体_GB2312"/>
          <w:color w:val="000000"/>
          <w:sz w:val="24"/>
        </w:rPr>
        <w:t>如果您对本通知内容或您的“贷款”及与其有关的任何付款金额有任何问题，请按如下方式进行查询：</w:t>
      </w:r>
    </w:p>
    <w:p w14:paraId="54041A0F">
      <w:pPr>
        <w:spacing w:line="360" w:lineRule="auto"/>
        <w:ind w:firstLine="420"/>
        <w:rPr>
          <w:rFonts w:eastAsia="楷体_GB2312"/>
          <w:color w:val="000000"/>
          <w:sz w:val="24"/>
        </w:rPr>
      </w:pPr>
    </w:p>
    <w:p w14:paraId="3C68921B">
      <w:pPr>
        <w:spacing w:line="360" w:lineRule="auto"/>
        <w:ind w:left="420"/>
        <w:rPr>
          <w:rFonts w:eastAsia="楷体_GB2312"/>
          <w:color w:val="000000"/>
          <w:sz w:val="24"/>
        </w:rPr>
      </w:pPr>
      <w:r>
        <w:rPr>
          <w:rFonts w:eastAsia="楷体_GB2312"/>
          <w:color w:val="000000"/>
          <w:sz w:val="24"/>
        </w:rPr>
        <w:t>联系地址：【】</w:t>
      </w:r>
      <w:r>
        <w:rPr>
          <w:rFonts w:eastAsia="楷体_GB2312"/>
          <w:color w:val="000000"/>
          <w:sz w:val="24"/>
        </w:rPr>
        <w:br w:type="textWrapping"/>
      </w:r>
      <w:r>
        <w:rPr>
          <w:rFonts w:eastAsia="楷体_GB2312"/>
          <w:color w:val="000000"/>
          <w:sz w:val="24"/>
        </w:rPr>
        <w:t>联系人：【】</w:t>
      </w:r>
      <w:r>
        <w:rPr>
          <w:rFonts w:eastAsia="楷体_GB2312"/>
          <w:color w:val="000000"/>
          <w:sz w:val="24"/>
        </w:rPr>
        <w:br w:type="textWrapping"/>
      </w:r>
      <w:r>
        <w:rPr>
          <w:rFonts w:eastAsia="楷体_GB2312"/>
          <w:color w:val="000000"/>
          <w:sz w:val="24"/>
        </w:rPr>
        <w:t>联系电话：【】</w:t>
      </w:r>
      <w:r>
        <w:rPr>
          <w:rFonts w:eastAsia="楷体_GB2312"/>
          <w:color w:val="000000"/>
          <w:sz w:val="24"/>
        </w:rPr>
        <w:br w:type="textWrapping"/>
      </w:r>
      <w:r>
        <w:rPr>
          <w:rFonts w:eastAsia="楷体_GB2312"/>
          <w:color w:val="000000"/>
          <w:sz w:val="24"/>
        </w:rPr>
        <w:t>传真：【】</w:t>
      </w:r>
    </w:p>
    <w:p w14:paraId="12B9FBCA">
      <w:pPr>
        <w:spacing w:line="360" w:lineRule="auto"/>
        <w:rPr>
          <w:rFonts w:eastAsia="楷体_GB2312"/>
          <w:color w:val="000000"/>
          <w:sz w:val="24"/>
        </w:rPr>
      </w:pPr>
    </w:p>
    <w:p w14:paraId="03FD3008">
      <w:pPr>
        <w:spacing w:line="360" w:lineRule="auto"/>
        <w:rPr>
          <w:rFonts w:eastAsia="楷体_GB2312"/>
          <w:color w:val="000000"/>
          <w:sz w:val="24"/>
        </w:rPr>
      </w:pPr>
    </w:p>
    <w:p w14:paraId="23284680">
      <w:pPr>
        <w:spacing w:line="360" w:lineRule="auto"/>
        <w:rPr>
          <w:rFonts w:eastAsia="楷体_GB2312"/>
          <w:b/>
          <w:color w:val="000000"/>
          <w:sz w:val="24"/>
        </w:rPr>
      </w:pPr>
      <w:r>
        <w:rPr>
          <w:rFonts w:eastAsia="楷体_GB2312"/>
          <w:b/>
          <w:color w:val="000000"/>
          <w:sz w:val="24"/>
        </w:rPr>
        <w:t>【发起机构全称】</w:t>
      </w:r>
      <w:r>
        <w:rPr>
          <w:rFonts w:eastAsia="楷体_GB2312"/>
          <w:color w:val="000000"/>
          <w:sz w:val="24"/>
        </w:rPr>
        <w:t>（作为“委托人”、“发起机构”）</w:t>
      </w:r>
    </w:p>
    <w:p w14:paraId="5B255AB0">
      <w:pPr>
        <w:spacing w:line="360" w:lineRule="auto"/>
        <w:rPr>
          <w:rFonts w:eastAsia="楷体_GB2312"/>
          <w:color w:val="000000"/>
          <w:sz w:val="24"/>
        </w:rPr>
      </w:pPr>
    </w:p>
    <w:p w14:paraId="43150900">
      <w:pPr>
        <w:tabs>
          <w:tab w:val="left" w:pos="5520"/>
        </w:tabs>
        <w:spacing w:line="360" w:lineRule="auto"/>
        <w:rPr>
          <w:rFonts w:eastAsia="楷体_GB2312"/>
          <w:color w:val="000000"/>
          <w:sz w:val="24"/>
        </w:rPr>
      </w:pPr>
      <w:r>
        <w:rPr>
          <w:rFonts w:eastAsia="楷体_GB2312"/>
          <w:color w:val="000000"/>
          <w:sz w:val="24"/>
        </w:rPr>
        <w:t>法定代表人或授权代理人：</w:t>
      </w:r>
      <w:r>
        <w:rPr>
          <w:rFonts w:eastAsia="楷体_GB2312"/>
          <w:color w:val="000000"/>
          <w:sz w:val="24"/>
        </w:rPr>
        <w:br w:type="textWrapping"/>
      </w:r>
    </w:p>
    <w:p w14:paraId="19071088">
      <w:pPr>
        <w:tabs>
          <w:tab w:val="left" w:pos="5520"/>
        </w:tabs>
        <w:spacing w:line="360" w:lineRule="auto"/>
        <w:rPr>
          <w:rFonts w:eastAsia="楷体_GB2312"/>
          <w:color w:val="000000"/>
          <w:sz w:val="24"/>
        </w:rPr>
      </w:pPr>
      <w:r>
        <w:rPr>
          <w:rFonts w:eastAsia="楷体_GB2312"/>
          <w:color w:val="000000"/>
          <w:sz w:val="24"/>
        </w:rPr>
        <w:t>【  】年【  】月【  】日</w:t>
      </w:r>
    </w:p>
    <w:p w14:paraId="3F11E87B">
      <w:pPr>
        <w:tabs>
          <w:tab w:val="left" w:pos="5520"/>
        </w:tabs>
        <w:spacing w:line="360" w:lineRule="auto"/>
        <w:rPr>
          <w:rFonts w:eastAsia="楷体_GB2312"/>
          <w:color w:val="000000"/>
          <w:sz w:val="24"/>
        </w:rPr>
      </w:pPr>
    </w:p>
    <w:p w14:paraId="2D107D91">
      <w:pPr>
        <w:tabs>
          <w:tab w:val="left" w:pos="5880"/>
        </w:tabs>
        <w:spacing w:line="360" w:lineRule="auto"/>
        <w:rPr>
          <w:rFonts w:eastAsia="楷体_GB2312"/>
          <w:b/>
          <w:color w:val="000000"/>
          <w:sz w:val="24"/>
        </w:rPr>
      </w:pPr>
      <w:r>
        <w:rPr>
          <w:rFonts w:eastAsia="楷体_GB2312"/>
          <w:b/>
          <w:color w:val="000000"/>
          <w:sz w:val="24"/>
        </w:rPr>
        <w:t>附件：</w:t>
      </w:r>
    </w:p>
    <w:p w14:paraId="6CADF712">
      <w:pPr>
        <w:spacing w:line="360" w:lineRule="auto"/>
        <w:ind w:left="420"/>
        <w:rPr>
          <w:rFonts w:eastAsia="楷体_GB2312"/>
          <w:color w:val="000000"/>
          <w:sz w:val="24"/>
        </w:rPr>
      </w:pPr>
      <w:r>
        <w:rPr>
          <w:rFonts w:eastAsia="楷体_GB2312"/>
          <w:color w:val="000000"/>
          <w:sz w:val="24"/>
        </w:rPr>
        <w:t>贷款合同编号/账户号：</w:t>
      </w:r>
    </w:p>
    <w:p w14:paraId="68EC4DBF">
      <w:pPr>
        <w:spacing w:line="360" w:lineRule="auto"/>
        <w:ind w:left="420"/>
        <w:rPr>
          <w:rFonts w:eastAsia="楷体_GB2312"/>
          <w:color w:val="000000"/>
          <w:sz w:val="24"/>
        </w:rPr>
      </w:pPr>
      <w:r>
        <w:rPr>
          <w:rFonts w:eastAsia="楷体_GB2312"/>
          <w:color w:val="000000"/>
          <w:sz w:val="24"/>
        </w:rPr>
        <w:t>借款人名称/姓名：</w:t>
      </w:r>
    </w:p>
    <w:p w14:paraId="4C6F7AEB">
      <w:pPr>
        <w:spacing w:line="360" w:lineRule="auto"/>
        <w:ind w:left="420"/>
        <w:rPr>
          <w:rFonts w:eastAsia="楷体_GB2312"/>
          <w:color w:val="000000"/>
          <w:sz w:val="24"/>
        </w:rPr>
      </w:pPr>
      <w:r>
        <w:rPr>
          <w:rFonts w:eastAsia="楷体_GB2312"/>
          <w:color w:val="000000"/>
          <w:sz w:val="24"/>
        </w:rPr>
        <w:t>未偿本金余额：</w:t>
      </w:r>
    </w:p>
    <w:p w14:paraId="6BCB5DBD">
      <w:pPr>
        <w:spacing w:line="360" w:lineRule="auto"/>
        <w:jc w:val="center"/>
        <w:rPr>
          <w:rFonts w:eastAsia="楷体_GB2312"/>
          <w:b/>
          <w:color w:val="000000"/>
          <w:sz w:val="24"/>
        </w:rPr>
      </w:pPr>
      <w:r>
        <w:rPr>
          <w:rFonts w:eastAsia="楷体_GB2312"/>
          <w:color w:val="000000"/>
          <w:sz w:val="24"/>
        </w:rPr>
        <w:br w:type="page"/>
      </w:r>
    </w:p>
    <w:p w14:paraId="73D809BA">
      <w:pPr>
        <w:pStyle w:val="144"/>
        <w:numPr>
          <w:ilvl w:val="0"/>
          <w:numId w:val="40"/>
        </w:numPr>
        <w:spacing w:line="360" w:lineRule="auto"/>
        <w:ind w:firstLineChars="0"/>
        <w:jc w:val="center"/>
        <w:rPr>
          <w:rFonts w:eastAsia="楷体_GB2312"/>
          <w:b/>
          <w:color w:val="000000"/>
          <w:sz w:val="24"/>
        </w:rPr>
      </w:pPr>
      <w:r>
        <w:rPr>
          <w:rFonts w:eastAsia="楷体_GB2312"/>
          <w:b/>
          <w:color w:val="000000"/>
          <w:sz w:val="24"/>
        </w:rPr>
        <w:t>权利完善通知格式</w:t>
      </w:r>
    </w:p>
    <w:p w14:paraId="41FA1E54">
      <w:pPr>
        <w:spacing w:line="360" w:lineRule="auto"/>
        <w:rPr>
          <w:rFonts w:eastAsia="楷体_GB2312"/>
          <w:b/>
          <w:color w:val="000000"/>
          <w:sz w:val="24"/>
        </w:rPr>
      </w:pPr>
    </w:p>
    <w:p w14:paraId="336A5CCD">
      <w:pPr>
        <w:spacing w:line="360" w:lineRule="auto"/>
        <w:rPr>
          <w:rFonts w:eastAsia="楷体_GB2312"/>
          <w:color w:val="000000"/>
          <w:sz w:val="24"/>
        </w:rPr>
      </w:pPr>
      <w:r>
        <w:rPr>
          <w:rFonts w:eastAsia="楷体_GB2312"/>
          <w:color w:val="000000"/>
          <w:sz w:val="24"/>
        </w:rPr>
        <w:t>（适用于：1、通知对象为“保证人”、 与“借款人”不是同一人的“抵押人”、“出质人”；2、由“【发起机构简称】”通知。）</w:t>
      </w:r>
    </w:p>
    <w:p w14:paraId="1276E79D">
      <w:pPr>
        <w:spacing w:line="360" w:lineRule="auto"/>
        <w:rPr>
          <w:rFonts w:eastAsia="楷体_GB2312"/>
          <w:b/>
          <w:color w:val="000000"/>
          <w:sz w:val="24"/>
        </w:rPr>
      </w:pPr>
    </w:p>
    <w:p w14:paraId="76A01BEB">
      <w:pPr>
        <w:spacing w:line="360" w:lineRule="auto"/>
        <w:rPr>
          <w:rFonts w:eastAsia="楷体_GB2312"/>
          <w:b/>
          <w:color w:val="000000"/>
          <w:sz w:val="24"/>
        </w:rPr>
      </w:pPr>
      <w:r>
        <w:rPr>
          <w:rFonts w:eastAsia="楷体_GB2312"/>
          <w:b/>
          <w:color w:val="000000"/>
          <w:sz w:val="24"/>
        </w:rPr>
        <w:t>致：【相关“保证人”、“抵押人”、“出质人”的名称和地址】</w:t>
      </w:r>
    </w:p>
    <w:p w14:paraId="775BF4D0">
      <w:pPr>
        <w:spacing w:line="360" w:lineRule="auto"/>
        <w:rPr>
          <w:rFonts w:eastAsia="楷体_GB2312"/>
          <w:b/>
          <w:color w:val="000000"/>
          <w:sz w:val="24"/>
        </w:rPr>
      </w:pPr>
      <w:r>
        <w:rPr>
          <w:rFonts w:eastAsia="楷体_GB2312"/>
          <w:b/>
          <w:color w:val="000000"/>
          <w:sz w:val="24"/>
        </w:rPr>
        <w:t>抄送：【受托机构全称】</w:t>
      </w:r>
    </w:p>
    <w:p w14:paraId="1DCBC5E0">
      <w:pPr>
        <w:spacing w:line="360" w:lineRule="auto"/>
        <w:rPr>
          <w:rFonts w:eastAsia="楷体_GB2312"/>
          <w:color w:val="000000"/>
          <w:sz w:val="24"/>
        </w:rPr>
      </w:pPr>
    </w:p>
    <w:p w14:paraId="2D72F506">
      <w:pPr>
        <w:spacing w:line="360" w:lineRule="auto"/>
        <w:rPr>
          <w:rFonts w:eastAsia="楷体_GB2312"/>
          <w:b/>
          <w:color w:val="000000"/>
          <w:sz w:val="24"/>
        </w:rPr>
      </w:pPr>
      <w:r>
        <w:rPr>
          <w:rFonts w:eastAsia="楷体_GB2312"/>
          <w:b/>
          <w:color w:val="000000"/>
          <w:sz w:val="24"/>
        </w:rPr>
        <w:t>日期_______________</w:t>
      </w:r>
    </w:p>
    <w:p w14:paraId="2E2EA812">
      <w:pPr>
        <w:spacing w:line="360" w:lineRule="auto"/>
        <w:rPr>
          <w:rFonts w:eastAsia="楷体_GB2312"/>
          <w:b/>
          <w:color w:val="000000"/>
          <w:sz w:val="24"/>
        </w:rPr>
      </w:pPr>
    </w:p>
    <w:p w14:paraId="4EF2798E">
      <w:pPr>
        <w:spacing w:line="360" w:lineRule="auto"/>
        <w:rPr>
          <w:rFonts w:eastAsia="楷体_GB2312"/>
          <w:b/>
          <w:color w:val="000000"/>
          <w:sz w:val="24"/>
        </w:rPr>
      </w:pPr>
      <w:r>
        <w:rPr>
          <w:rFonts w:eastAsia="楷体_GB2312"/>
          <w:b/>
          <w:color w:val="000000"/>
          <w:sz w:val="24"/>
        </w:rPr>
        <w:t>敬启者</w:t>
      </w:r>
    </w:p>
    <w:p w14:paraId="472E0D35">
      <w:pPr>
        <w:spacing w:line="360" w:lineRule="auto"/>
        <w:rPr>
          <w:rFonts w:eastAsia="楷体_GB2312"/>
          <w:color w:val="000000"/>
          <w:sz w:val="24"/>
        </w:rPr>
      </w:pPr>
    </w:p>
    <w:p w14:paraId="4CBD952D">
      <w:pPr>
        <w:spacing w:line="360" w:lineRule="auto"/>
        <w:ind w:firstLine="420"/>
        <w:rPr>
          <w:rFonts w:eastAsia="楷体_GB2312"/>
          <w:color w:val="000000"/>
          <w:sz w:val="24"/>
        </w:rPr>
      </w:pPr>
      <w:r>
        <w:rPr>
          <w:rFonts w:eastAsia="楷体_GB2312"/>
          <w:color w:val="000000"/>
          <w:sz w:val="24"/>
        </w:rPr>
        <w:t>根据【发起机构全称】（“【发起机构简称】”）与【受托机构全称】（“【受托机构简称】”）于【】年【】月【】日签署的编号为【信托合同编号】的《【信托名称】</w:t>
      </w:r>
      <w:r>
        <w:rPr>
          <w:rFonts w:hint="eastAsia" w:eastAsia="楷体_GB2312"/>
          <w:color w:val="000000"/>
          <w:sz w:val="24"/>
        </w:rPr>
        <w:t>之</w:t>
      </w:r>
      <w:r>
        <w:rPr>
          <w:rFonts w:eastAsia="楷体_GB2312"/>
          <w:color w:val="000000"/>
          <w:sz w:val="24"/>
        </w:rPr>
        <w:t>信托合同》（“《信托合同》”）以及【发起机构简称】和【受托机构简称】于【】年【】月【】日在【】刊登的信托公告（“信托公告”），【发起机构简称】已将您所担保的“贷款”（具体信息见本通知附件）及其相关的“附属权益”（现有的和将来的、实际的和或有的，如有）全部信托予【受托机构简称】。</w:t>
      </w:r>
    </w:p>
    <w:p w14:paraId="2010C0E8">
      <w:pPr>
        <w:spacing w:line="360" w:lineRule="auto"/>
        <w:ind w:firstLine="420"/>
        <w:rPr>
          <w:rFonts w:eastAsia="楷体_GB2312"/>
          <w:color w:val="000000"/>
          <w:sz w:val="24"/>
        </w:rPr>
      </w:pPr>
      <w:r>
        <w:rPr>
          <w:rFonts w:eastAsia="楷体_GB2312"/>
          <w:b/>
          <w:bCs/>
          <w:i/>
          <w:iCs/>
          <w:color w:val="FF0000"/>
          <w:sz w:val="24"/>
        </w:rPr>
        <w:t>【注：本段适用于“权利完善事件”第(c)项及第(d)项发生之情形】</w:t>
      </w:r>
      <w:r>
        <w:rPr>
          <w:rFonts w:eastAsia="楷体_GB2312"/>
          <w:color w:val="000000"/>
          <w:sz w:val="24"/>
        </w:rPr>
        <w:t>自【】年【】月【】日起，与该笔“贷款”及相关的“附属权益”有关的所有权利，均由【受托机构简称】（为资产支持证券持有人的利益）享有。</w:t>
      </w:r>
    </w:p>
    <w:p w14:paraId="3DC54ACA">
      <w:pPr>
        <w:spacing w:line="360" w:lineRule="auto"/>
        <w:ind w:firstLine="420"/>
        <w:rPr>
          <w:rFonts w:eastAsia="楷体_GB2312"/>
          <w:color w:val="000000"/>
          <w:sz w:val="24"/>
        </w:rPr>
      </w:pPr>
      <w:r>
        <w:rPr>
          <w:rFonts w:eastAsia="楷体_GB2312"/>
          <w:color w:val="000000"/>
          <w:sz w:val="24"/>
        </w:rPr>
        <w:t>根据【发起机构简称】与【受托机构简称】于【】年【】月【】日签署的编号为【服务合同编号】的《【信托名称】服务合同》（“《服务合同》”），【受托机构简称】已委托【发起机构简称】担任您所担保的该笔“贷款”的贷款服务机构，继续处理与您所担保的该笔“贷款”相关的未来回收工作（包括根据“担保合同”的约定向您主张权利），直到“贷款”的款项全部还清或我们向您发出进一步通知。</w:t>
      </w:r>
    </w:p>
    <w:p w14:paraId="54D2FE4C">
      <w:pPr>
        <w:spacing w:line="360" w:lineRule="auto"/>
        <w:ind w:firstLine="420"/>
        <w:rPr>
          <w:rFonts w:eastAsia="楷体_GB2312"/>
          <w:color w:val="000000"/>
          <w:sz w:val="24"/>
        </w:rPr>
      </w:pPr>
      <w:r>
        <w:rPr>
          <w:rFonts w:eastAsia="楷体_GB2312"/>
          <w:b/>
          <w:bCs/>
          <w:i/>
          <w:iCs/>
          <w:color w:val="FF0000"/>
          <w:sz w:val="24"/>
        </w:rPr>
        <w:t>【注：本段适用于“权利完善事件”第(a)项及第(b)项发生之情形】</w:t>
      </w:r>
      <w:r>
        <w:rPr>
          <w:rFonts w:eastAsia="楷体_GB2312"/>
          <w:color w:val="000000"/>
          <w:sz w:val="24"/>
        </w:rPr>
        <w:t>自【】年【】月【】日起，您履行担保责任时，应向【受托机构简称】指定的如下“信托账户”还款，直到“贷款”的款项全部还清或我们向您发出进一步通知。</w:t>
      </w:r>
    </w:p>
    <w:p w14:paraId="3D729E6C">
      <w:pPr>
        <w:spacing w:line="360" w:lineRule="auto"/>
        <w:ind w:firstLine="420"/>
        <w:rPr>
          <w:rFonts w:eastAsia="楷体_GB2312"/>
          <w:color w:val="000000"/>
          <w:sz w:val="24"/>
        </w:rPr>
      </w:pPr>
    </w:p>
    <w:p w14:paraId="713475E4">
      <w:pPr>
        <w:spacing w:line="360" w:lineRule="auto"/>
        <w:ind w:firstLine="420"/>
        <w:rPr>
          <w:rFonts w:eastAsia="楷体_GB2312"/>
          <w:color w:val="000000"/>
          <w:sz w:val="24"/>
        </w:rPr>
      </w:pPr>
      <w:r>
        <w:rPr>
          <w:rFonts w:eastAsia="楷体_GB2312"/>
          <w:color w:val="000000"/>
          <w:sz w:val="24"/>
        </w:rPr>
        <w:t>“信托账户”的信息如下：</w:t>
      </w:r>
    </w:p>
    <w:p w14:paraId="049B91CF">
      <w:pPr>
        <w:spacing w:line="360" w:lineRule="auto"/>
        <w:ind w:firstLine="420"/>
        <w:rPr>
          <w:rFonts w:eastAsia="楷体_GB2312"/>
          <w:color w:val="000000"/>
          <w:sz w:val="24"/>
        </w:rPr>
      </w:pPr>
      <w:r>
        <w:rPr>
          <w:rFonts w:eastAsia="楷体_GB2312"/>
          <w:color w:val="000000"/>
          <w:sz w:val="24"/>
        </w:rPr>
        <w:t>账号：【】</w:t>
      </w:r>
    </w:p>
    <w:p w14:paraId="5F356DEA">
      <w:pPr>
        <w:spacing w:line="360" w:lineRule="auto"/>
        <w:ind w:firstLine="420"/>
        <w:rPr>
          <w:rFonts w:eastAsia="楷体_GB2312"/>
          <w:color w:val="000000"/>
          <w:sz w:val="24"/>
        </w:rPr>
      </w:pPr>
      <w:r>
        <w:rPr>
          <w:rFonts w:eastAsia="楷体_GB2312"/>
          <w:color w:val="000000"/>
          <w:sz w:val="24"/>
        </w:rPr>
        <w:t>户名：【】</w:t>
      </w:r>
    </w:p>
    <w:p w14:paraId="1FC6A14C">
      <w:pPr>
        <w:spacing w:line="360" w:lineRule="auto"/>
        <w:ind w:firstLine="420"/>
        <w:rPr>
          <w:rFonts w:eastAsia="楷体_GB2312"/>
          <w:color w:val="000000"/>
          <w:sz w:val="24"/>
        </w:rPr>
      </w:pPr>
      <w:r>
        <w:rPr>
          <w:rFonts w:eastAsia="楷体_GB2312"/>
          <w:color w:val="000000"/>
          <w:sz w:val="24"/>
        </w:rPr>
        <w:t>开户行：【】</w:t>
      </w:r>
    </w:p>
    <w:p w14:paraId="22269AAE">
      <w:pPr>
        <w:spacing w:line="360" w:lineRule="auto"/>
        <w:ind w:firstLine="420"/>
        <w:rPr>
          <w:rFonts w:eastAsia="楷体_GB2312"/>
          <w:color w:val="000000"/>
          <w:sz w:val="24"/>
        </w:rPr>
      </w:pPr>
    </w:p>
    <w:p w14:paraId="3E08D649">
      <w:pPr>
        <w:spacing w:line="360" w:lineRule="auto"/>
        <w:ind w:firstLine="420"/>
        <w:rPr>
          <w:rFonts w:eastAsia="楷体_GB2312"/>
          <w:color w:val="000000"/>
          <w:sz w:val="24"/>
        </w:rPr>
      </w:pPr>
      <w:r>
        <w:rPr>
          <w:rFonts w:eastAsia="楷体_GB2312"/>
          <w:color w:val="000000"/>
          <w:sz w:val="24"/>
        </w:rPr>
        <w:t>如果您对本通知内容或您所担保的“贷款”及与其有关的转让有任何问题，请按如下方式进行查询：</w:t>
      </w:r>
    </w:p>
    <w:p w14:paraId="74117686">
      <w:pPr>
        <w:spacing w:line="360" w:lineRule="auto"/>
        <w:ind w:firstLine="420"/>
        <w:rPr>
          <w:rFonts w:eastAsia="楷体_GB2312"/>
          <w:color w:val="000000"/>
          <w:sz w:val="24"/>
        </w:rPr>
      </w:pPr>
    </w:p>
    <w:p w14:paraId="5CFCE1DF">
      <w:pPr>
        <w:spacing w:line="360" w:lineRule="auto"/>
        <w:ind w:left="420"/>
        <w:rPr>
          <w:rFonts w:eastAsia="楷体_GB2312"/>
          <w:color w:val="000000"/>
          <w:sz w:val="24"/>
        </w:rPr>
      </w:pPr>
      <w:r>
        <w:rPr>
          <w:rFonts w:eastAsia="楷体_GB2312"/>
          <w:color w:val="000000"/>
          <w:sz w:val="24"/>
        </w:rPr>
        <w:t>联系地址：【】</w:t>
      </w:r>
      <w:r>
        <w:rPr>
          <w:rFonts w:eastAsia="楷体_GB2312"/>
          <w:color w:val="000000"/>
          <w:sz w:val="24"/>
        </w:rPr>
        <w:br w:type="textWrapping"/>
      </w:r>
      <w:r>
        <w:rPr>
          <w:rFonts w:eastAsia="楷体_GB2312"/>
          <w:color w:val="000000"/>
          <w:sz w:val="24"/>
        </w:rPr>
        <w:t>联系人：【】</w:t>
      </w:r>
      <w:r>
        <w:rPr>
          <w:rFonts w:eastAsia="楷体_GB2312"/>
          <w:color w:val="000000"/>
          <w:sz w:val="24"/>
        </w:rPr>
        <w:br w:type="textWrapping"/>
      </w:r>
      <w:r>
        <w:rPr>
          <w:rFonts w:eastAsia="楷体_GB2312"/>
          <w:color w:val="000000"/>
          <w:sz w:val="24"/>
        </w:rPr>
        <w:t>联系电话：【】</w:t>
      </w:r>
      <w:r>
        <w:rPr>
          <w:rFonts w:eastAsia="楷体_GB2312"/>
          <w:color w:val="000000"/>
          <w:sz w:val="24"/>
        </w:rPr>
        <w:br w:type="textWrapping"/>
      </w:r>
      <w:r>
        <w:rPr>
          <w:rFonts w:eastAsia="楷体_GB2312"/>
          <w:color w:val="000000"/>
          <w:sz w:val="24"/>
        </w:rPr>
        <w:t>传真：【】</w:t>
      </w:r>
    </w:p>
    <w:p w14:paraId="6C721721">
      <w:pPr>
        <w:spacing w:line="360" w:lineRule="auto"/>
        <w:rPr>
          <w:rFonts w:eastAsia="楷体_GB2312"/>
          <w:color w:val="000000"/>
          <w:sz w:val="24"/>
        </w:rPr>
      </w:pPr>
    </w:p>
    <w:p w14:paraId="6FEE3523">
      <w:pPr>
        <w:spacing w:line="360" w:lineRule="auto"/>
        <w:rPr>
          <w:rFonts w:eastAsia="楷体_GB2312"/>
          <w:color w:val="000000"/>
          <w:sz w:val="24"/>
        </w:rPr>
      </w:pPr>
    </w:p>
    <w:p w14:paraId="20796C23">
      <w:pPr>
        <w:spacing w:line="360" w:lineRule="auto"/>
        <w:rPr>
          <w:rFonts w:eastAsia="楷体_GB2312"/>
          <w:color w:val="000000"/>
          <w:sz w:val="24"/>
        </w:rPr>
      </w:pPr>
      <w:r>
        <w:rPr>
          <w:rFonts w:eastAsia="楷体_GB2312"/>
          <w:b/>
          <w:color w:val="000000"/>
          <w:sz w:val="24"/>
        </w:rPr>
        <w:t>【发起机构全称】</w:t>
      </w:r>
      <w:r>
        <w:rPr>
          <w:rFonts w:eastAsia="楷体_GB2312"/>
          <w:color w:val="000000"/>
          <w:sz w:val="24"/>
        </w:rPr>
        <w:t>（作为“委托人”、“发起机构”）</w:t>
      </w:r>
    </w:p>
    <w:p w14:paraId="6D364E42">
      <w:pPr>
        <w:spacing w:line="360" w:lineRule="auto"/>
        <w:rPr>
          <w:rFonts w:eastAsia="楷体_GB2312"/>
          <w:color w:val="000000"/>
          <w:sz w:val="24"/>
        </w:rPr>
      </w:pPr>
    </w:p>
    <w:p w14:paraId="5765281F">
      <w:pPr>
        <w:tabs>
          <w:tab w:val="left" w:pos="5520"/>
        </w:tabs>
        <w:spacing w:line="360" w:lineRule="auto"/>
        <w:rPr>
          <w:rFonts w:eastAsia="楷体_GB2312"/>
          <w:color w:val="000000"/>
          <w:sz w:val="24"/>
        </w:rPr>
      </w:pPr>
      <w:r>
        <w:rPr>
          <w:rFonts w:eastAsia="楷体_GB2312"/>
          <w:color w:val="000000"/>
          <w:sz w:val="24"/>
        </w:rPr>
        <w:t>法定代表人或授权代理人：</w:t>
      </w:r>
    </w:p>
    <w:p w14:paraId="5EC107B3">
      <w:pPr>
        <w:tabs>
          <w:tab w:val="left" w:pos="5520"/>
        </w:tabs>
        <w:spacing w:line="360" w:lineRule="auto"/>
        <w:rPr>
          <w:rFonts w:eastAsia="楷体_GB2312"/>
          <w:color w:val="000000"/>
          <w:sz w:val="24"/>
        </w:rPr>
      </w:pPr>
    </w:p>
    <w:p w14:paraId="2E514115">
      <w:pPr>
        <w:tabs>
          <w:tab w:val="left" w:pos="5520"/>
        </w:tabs>
        <w:spacing w:line="360" w:lineRule="auto"/>
        <w:rPr>
          <w:rFonts w:eastAsia="楷体_GB2312"/>
          <w:color w:val="000000"/>
          <w:sz w:val="24"/>
        </w:rPr>
      </w:pPr>
      <w:r>
        <w:rPr>
          <w:rFonts w:eastAsia="楷体_GB2312"/>
          <w:color w:val="000000"/>
          <w:sz w:val="24"/>
        </w:rPr>
        <w:t>【  】年【  】月【  】日</w:t>
      </w:r>
    </w:p>
    <w:p w14:paraId="7E3AA169">
      <w:pPr>
        <w:tabs>
          <w:tab w:val="left" w:pos="5880"/>
        </w:tabs>
        <w:spacing w:line="360" w:lineRule="auto"/>
        <w:rPr>
          <w:rFonts w:eastAsia="楷体_GB2312"/>
          <w:b/>
          <w:color w:val="000000"/>
          <w:sz w:val="24"/>
        </w:rPr>
      </w:pPr>
      <w:r>
        <w:rPr>
          <w:rFonts w:eastAsia="楷体_GB2312"/>
          <w:b/>
          <w:color w:val="000000"/>
          <w:sz w:val="24"/>
        </w:rPr>
        <w:t>附件：</w:t>
      </w:r>
    </w:p>
    <w:p w14:paraId="2A4F30BB">
      <w:pPr>
        <w:spacing w:line="360" w:lineRule="auto"/>
        <w:ind w:left="420"/>
        <w:rPr>
          <w:rFonts w:eastAsia="楷体_GB2312"/>
          <w:color w:val="000000"/>
          <w:sz w:val="24"/>
        </w:rPr>
      </w:pPr>
      <w:r>
        <w:rPr>
          <w:rFonts w:eastAsia="楷体_GB2312"/>
          <w:color w:val="000000"/>
          <w:sz w:val="24"/>
        </w:rPr>
        <w:t>贷款合同编号：</w:t>
      </w:r>
    </w:p>
    <w:p w14:paraId="3B0D4BE1">
      <w:pPr>
        <w:spacing w:line="360" w:lineRule="auto"/>
        <w:ind w:left="420"/>
        <w:rPr>
          <w:rFonts w:eastAsia="楷体_GB2312"/>
          <w:color w:val="000000"/>
          <w:sz w:val="24"/>
        </w:rPr>
      </w:pPr>
      <w:r>
        <w:rPr>
          <w:rFonts w:eastAsia="楷体_GB2312"/>
          <w:color w:val="000000"/>
          <w:sz w:val="24"/>
        </w:rPr>
        <w:t>抵押合同编号：</w:t>
      </w:r>
    </w:p>
    <w:p w14:paraId="0824B755">
      <w:pPr>
        <w:spacing w:line="360" w:lineRule="auto"/>
        <w:ind w:left="420"/>
        <w:rPr>
          <w:rFonts w:eastAsia="楷体_GB2312"/>
          <w:color w:val="000000"/>
          <w:sz w:val="24"/>
        </w:rPr>
      </w:pPr>
      <w:r>
        <w:rPr>
          <w:rFonts w:eastAsia="楷体_GB2312"/>
          <w:color w:val="000000"/>
          <w:sz w:val="24"/>
        </w:rPr>
        <w:t>保证合同编号：</w:t>
      </w:r>
    </w:p>
    <w:p w14:paraId="0399DB06">
      <w:pPr>
        <w:spacing w:line="360" w:lineRule="auto"/>
        <w:ind w:left="420"/>
        <w:rPr>
          <w:rFonts w:eastAsia="楷体_GB2312"/>
          <w:color w:val="000000"/>
          <w:sz w:val="24"/>
        </w:rPr>
      </w:pPr>
      <w:r>
        <w:rPr>
          <w:rFonts w:eastAsia="楷体_GB2312"/>
          <w:color w:val="000000"/>
          <w:sz w:val="24"/>
        </w:rPr>
        <w:t>质押合同编号：</w:t>
      </w:r>
    </w:p>
    <w:p w14:paraId="40742FEC">
      <w:pPr>
        <w:spacing w:line="360" w:lineRule="auto"/>
        <w:ind w:left="420"/>
        <w:rPr>
          <w:rFonts w:eastAsia="楷体_GB2312"/>
          <w:color w:val="000000"/>
          <w:sz w:val="24"/>
        </w:rPr>
      </w:pPr>
      <w:r>
        <w:rPr>
          <w:rFonts w:eastAsia="楷体_GB2312"/>
          <w:color w:val="000000"/>
          <w:sz w:val="24"/>
        </w:rPr>
        <w:t>借款人姓名/名称：</w:t>
      </w:r>
    </w:p>
    <w:p w14:paraId="445F5A29">
      <w:pPr>
        <w:spacing w:line="360" w:lineRule="auto"/>
        <w:ind w:left="420"/>
        <w:rPr>
          <w:rFonts w:eastAsia="楷体_GB2312"/>
          <w:color w:val="000000"/>
          <w:sz w:val="24"/>
        </w:rPr>
      </w:pPr>
      <w:r>
        <w:rPr>
          <w:rFonts w:eastAsia="楷体_GB2312"/>
          <w:color w:val="000000"/>
          <w:sz w:val="24"/>
        </w:rPr>
        <w:t>保证人姓名/名称：</w:t>
      </w:r>
    </w:p>
    <w:p w14:paraId="1912A02D">
      <w:pPr>
        <w:spacing w:line="360" w:lineRule="auto"/>
        <w:ind w:left="420"/>
        <w:rPr>
          <w:rFonts w:eastAsia="楷体_GB2312"/>
          <w:color w:val="000000"/>
          <w:sz w:val="24"/>
        </w:rPr>
      </w:pPr>
      <w:r>
        <w:rPr>
          <w:rFonts w:eastAsia="楷体_GB2312"/>
          <w:color w:val="000000"/>
          <w:sz w:val="24"/>
        </w:rPr>
        <w:t>抵押人姓名/名称：</w:t>
      </w:r>
    </w:p>
    <w:p w14:paraId="7A97AA8C">
      <w:pPr>
        <w:spacing w:line="360" w:lineRule="auto"/>
        <w:ind w:left="420"/>
        <w:rPr>
          <w:rFonts w:eastAsia="楷体_GB2312"/>
          <w:color w:val="000000"/>
          <w:sz w:val="24"/>
        </w:rPr>
      </w:pPr>
      <w:r>
        <w:rPr>
          <w:rFonts w:eastAsia="楷体_GB2312"/>
          <w:color w:val="000000"/>
          <w:sz w:val="24"/>
        </w:rPr>
        <w:t>出质人姓名/名称：</w:t>
      </w:r>
    </w:p>
    <w:p w14:paraId="2776B2A6">
      <w:pPr>
        <w:spacing w:line="360" w:lineRule="auto"/>
        <w:ind w:left="420"/>
        <w:rPr>
          <w:rFonts w:eastAsia="楷体_GB2312"/>
          <w:color w:val="000000"/>
          <w:sz w:val="24"/>
        </w:rPr>
      </w:pPr>
      <w:r>
        <w:rPr>
          <w:rFonts w:eastAsia="楷体_GB2312"/>
          <w:color w:val="000000"/>
          <w:sz w:val="24"/>
        </w:rPr>
        <w:t>未偿本金余额：</w:t>
      </w:r>
    </w:p>
    <w:p w14:paraId="0FB05277">
      <w:pPr>
        <w:spacing w:line="360" w:lineRule="auto"/>
        <w:jc w:val="left"/>
        <w:rPr>
          <w:rFonts w:eastAsia="楷体_GB2312"/>
          <w:b/>
          <w:i/>
          <w:iCs/>
          <w:color w:val="000000"/>
          <w:sz w:val="24"/>
        </w:rPr>
      </w:pPr>
      <w:r>
        <w:rPr>
          <w:rFonts w:eastAsia="楷体_GB2312"/>
          <w:color w:val="000000"/>
          <w:sz w:val="24"/>
        </w:rPr>
        <w:br w:type="page"/>
      </w:r>
    </w:p>
    <w:p w14:paraId="7A584FA2">
      <w:pPr>
        <w:spacing w:line="360" w:lineRule="auto"/>
        <w:outlineLvl w:val="0"/>
        <w:rPr>
          <w:rFonts w:eastAsia="楷体_GB2312"/>
          <w:b/>
          <w:color w:val="000000"/>
          <w:sz w:val="24"/>
        </w:rPr>
      </w:pPr>
      <w:bookmarkStart w:id="1762" w:name="_Toc219710702"/>
      <w:bookmarkStart w:id="1763" w:name="_Toc225538183"/>
      <w:r>
        <w:rPr>
          <w:rFonts w:eastAsia="楷体_GB2312"/>
          <w:b/>
          <w:color w:val="000000"/>
          <w:sz w:val="24"/>
        </w:rPr>
        <w:t>附件四：授权书的格式</w:t>
      </w:r>
      <w:bookmarkEnd w:id="1762"/>
      <w:bookmarkEnd w:id="1763"/>
    </w:p>
    <w:p w14:paraId="28F3E0BB">
      <w:pPr>
        <w:spacing w:line="360" w:lineRule="auto"/>
        <w:rPr>
          <w:rFonts w:eastAsia="楷体_GB2312"/>
          <w:color w:val="000000"/>
          <w:sz w:val="24"/>
        </w:rPr>
      </w:pPr>
    </w:p>
    <w:p w14:paraId="2F01288C">
      <w:pPr>
        <w:spacing w:line="360" w:lineRule="auto"/>
        <w:jc w:val="center"/>
        <w:rPr>
          <w:rFonts w:eastAsia="楷体_GB2312"/>
          <w:b/>
          <w:color w:val="000000"/>
          <w:sz w:val="24"/>
        </w:rPr>
      </w:pPr>
      <w:r>
        <w:rPr>
          <w:rFonts w:eastAsia="楷体_GB2312"/>
          <w:b/>
          <w:color w:val="000000"/>
          <w:sz w:val="24"/>
        </w:rPr>
        <w:t>权利完善通知之授权书</w:t>
      </w:r>
    </w:p>
    <w:p w14:paraId="5A7D48B1">
      <w:pPr>
        <w:spacing w:line="360" w:lineRule="auto"/>
        <w:jc w:val="center"/>
        <w:rPr>
          <w:rFonts w:eastAsia="楷体_GB2312"/>
          <w:color w:val="000000"/>
          <w:sz w:val="24"/>
        </w:rPr>
      </w:pPr>
    </w:p>
    <w:p w14:paraId="135A933B">
      <w:pPr>
        <w:spacing w:line="360" w:lineRule="auto"/>
        <w:rPr>
          <w:rFonts w:eastAsia="楷体_GB2312"/>
          <w:b/>
          <w:color w:val="000000"/>
          <w:sz w:val="24"/>
        </w:rPr>
      </w:pPr>
      <w:r>
        <w:rPr>
          <w:rFonts w:eastAsia="楷体_GB2312"/>
          <w:b/>
          <w:color w:val="000000"/>
          <w:sz w:val="24"/>
        </w:rPr>
        <w:t>【受托机构全称】：</w:t>
      </w:r>
    </w:p>
    <w:p w14:paraId="14CF0B9D">
      <w:pPr>
        <w:spacing w:line="360" w:lineRule="auto"/>
        <w:rPr>
          <w:rFonts w:eastAsia="楷体_GB2312"/>
          <w:color w:val="000000"/>
          <w:sz w:val="24"/>
        </w:rPr>
      </w:pPr>
    </w:p>
    <w:p w14:paraId="65FD3CF5">
      <w:pPr>
        <w:spacing w:line="360" w:lineRule="auto"/>
        <w:ind w:firstLine="420"/>
        <w:rPr>
          <w:rFonts w:eastAsia="楷体_GB2312"/>
          <w:color w:val="000000"/>
          <w:sz w:val="24"/>
        </w:rPr>
      </w:pPr>
      <w:r>
        <w:rPr>
          <w:rFonts w:eastAsia="楷体_GB2312"/>
          <w:color w:val="000000"/>
          <w:sz w:val="24"/>
        </w:rPr>
        <w:t>鉴于本行作为委托人，于【】年【】月【】日签署的编号为【信托合同编号】的《【信托名称】</w:t>
      </w:r>
      <w:r>
        <w:rPr>
          <w:rFonts w:hint="eastAsia" w:eastAsia="楷体_GB2312"/>
          <w:color w:val="000000"/>
          <w:sz w:val="24"/>
        </w:rPr>
        <w:t>之</w:t>
      </w:r>
      <w:r>
        <w:rPr>
          <w:rFonts w:eastAsia="楷体_GB2312"/>
          <w:color w:val="000000"/>
          <w:sz w:val="24"/>
        </w:rPr>
        <w:t>信托合同》（“《信托合同》”），将“资产池”信托予贵公司，设立【信托名称】。根据《信托合同》第</w:t>
      </w:r>
      <w:r>
        <w:rPr>
          <w:rFonts w:eastAsia="楷体_GB2312"/>
          <w:color w:val="000000"/>
          <w:sz w:val="24"/>
        </w:rPr>
        <w:fldChar w:fldCharType="begin"/>
      </w:r>
      <w:r>
        <w:rPr>
          <w:rFonts w:eastAsia="楷体_GB2312"/>
          <w:color w:val="000000"/>
          <w:sz w:val="24"/>
        </w:rPr>
        <w:instrText xml:space="preserve"> REF _Ref201483510 \r \h  \* MERGEFORMAT </w:instrText>
      </w:r>
      <w:r>
        <w:rPr>
          <w:rFonts w:eastAsia="楷体_GB2312"/>
          <w:color w:val="000000"/>
          <w:sz w:val="24"/>
        </w:rPr>
        <w:fldChar w:fldCharType="separate"/>
      </w:r>
      <w:r>
        <w:rPr>
          <w:rFonts w:eastAsia="楷体_GB2312"/>
          <w:color w:val="000000"/>
          <w:sz w:val="24"/>
        </w:rPr>
        <w:t>5.1</w:t>
      </w:r>
      <w:r>
        <w:rPr>
          <w:rFonts w:eastAsia="楷体_GB2312"/>
          <w:color w:val="000000"/>
          <w:sz w:val="24"/>
        </w:rPr>
        <w:fldChar w:fldCharType="end"/>
      </w:r>
      <w:r>
        <w:rPr>
          <w:rFonts w:eastAsia="楷体_GB2312"/>
          <w:color w:val="000000"/>
          <w:sz w:val="24"/>
        </w:rPr>
        <w:t>款的约定，发生“权利完善事件”后的【】个“工作日”内或《信托合同》第</w:t>
      </w:r>
      <w:r>
        <w:rPr>
          <w:rFonts w:eastAsia="楷体_GB2312"/>
          <w:color w:val="000000"/>
          <w:sz w:val="24"/>
        </w:rPr>
        <w:fldChar w:fldCharType="begin"/>
      </w:r>
      <w:r>
        <w:rPr>
          <w:rFonts w:eastAsia="楷体_GB2312"/>
          <w:color w:val="000000"/>
          <w:sz w:val="24"/>
        </w:rPr>
        <w:instrText xml:space="preserve"> REF _Ref221266459 \r \h  \* MERGEFORMAT </w:instrText>
      </w:r>
      <w:r>
        <w:rPr>
          <w:rFonts w:eastAsia="楷体_GB2312"/>
          <w:color w:val="000000"/>
          <w:sz w:val="24"/>
        </w:rPr>
        <w:fldChar w:fldCharType="separate"/>
      </w:r>
      <w:r>
        <w:rPr>
          <w:rFonts w:eastAsia="楷体_GB2312"/>
          <w:color w:val="000000"/>
          <w:sz w:val="24"/>
        </w:rPr>
        <w:t>5.1.4</w:t>
      </w:r>
      <w:r>
        <w:rPr>
          <w:rFonts w:eastAsia="楷体_GB2312"/>
          <w:color w:val="000000"/>
          <w:sz w:val="24"/>
        </w:rPr>
        <w:fldChar w:fldCharType="end"/>
      </w:r>
      <w:r>
        <w:rPr>
          <w:rFonts w:eastAsia="楷体_GB2312"/>
          <w:color w:val="000000"/>
          <w:sz w:val="24"/>
        </w:rPr>
        <w:t>款约定的情形后，本行应以挂号信或特快专递等方式发出“权利完善通知”（格式见《信托合同》附件三）。根据《信托合同》第</w:t>
      </w:r>
      <w:r>
        <w:rPr>
          <w:rFonts w:eastAsia="楷体_GB2312"/>
          <w:color w:val="000000"/>
          <w:sz w:val="24"/>
        </w:rPr>
        <w:fldChar w:fldCharType="begin"/>
      </w:r>
      <w:r>
        <w:rPr>
          <w:rFonts w:eastAsia="楷体_GB2312"/>
          <w:color w:val="000000"/>
          <w:sz w:val="24"/>
        </w:rPr>
        <w:instrText xml:space="preserve"> REF _Ref47878094 \r \h  \* MERGEFORMAT </w:instrText>
      </w:r>
      <w:r>
        <w:rPr>
          <w:rFonts w:eastAsia="楷体_GB2312"/>
          <w:color w:val="000000"/>
          <w:sz w:val="24"/>
        </w:rPr>
        <w:fldChar w:fldCharType="separate"/>
      </w:r>
      <w:r>
        <w:rPr>
          <w:rFonts w:eastAsia="楷体_GB2312"/>
          <w:color w:val="000000"/>
          <w:sz w:val="24"/>
        </w:rPr>
        <w:t>5.2</w:t>
      </w:r>
      <w:r>
        <w:rPr>
          <w:rFonts w:eastAsia="楷体_GB2312"/>
          <w:color w:val="000000"/>
          <w:sz w:val="24"/>
        </w:rPr>
        <w:fldChar w:fldCharType="end"/>
      </w:r>
      <w:r>
        <w:rPr>
          <w:rFonts w:eastAsia="楷体_GB2312"/>
          <w:color w:val="000000"/>
          <w:sz w:val="24"/>
        </w:rPr>
        <w:t>款的约定，本行在此无条件、不可撤销地向贵公司授权如下：</w:t>
      </w:r>
    </w:p>
    <w:p w14:paraId="3F186250">
      <w:pPr>
        <w:spacing w:line="360" w:lineRule="auto"/>
        <w:rPr>
          <w:rFonts w:eastAsia="楷体_GB2312"/>
          <w:color w:val="000000"/>
          <w:sz w:val="24"/>
        </w:rPr>
      </w:pPr>
    </w:p>
    <w:p w14:paraId="258072B4">
      <w:pPr>
        <w:spacing w:line="360" w:lineRule="auto"/>
        <w:ind w:firstLine="420"/>
        <w:rPr>
          <w:rFonts w:eastAsia="楷体_GB2312"/>
          <w:color w:val="000000"/>
          <w:sz w:val="24"/>
        </w:rPr>
      </w:pPr>
      <w:r>
        <w:rPr>
          <w:rFonts w:eastAsia="楷体_GB2312"/>
          <w:color w:val="000000"/>
          <w:sz w:val="24"/>
        </w:rPr>
        <w:t>如果本行未按照《信托合同》第</w:t>
      </w:r>
      <w:r>
        <w:rPr>
          <w:rFonts w:eastAsia="楷体_GB2312"/>
          <w:color w:val="000000"/>
          <w:sz w:val="24"/>
        </w:rPr>
        <w:fldChar w:fldCharType="begin"/>
      </w:r>
      <w:r>
        <w:rPr>
          <w:rFonts w:eastAsia="楷体_GB2312"/>
          <w:color w:val="000000"/>
          <w:sz w:val="24"/>
        </w:rPr>
        <w:instrText xml:space="preserve"> REF _Ref201483510 \r \h  \* MERGEFORMAT </w:instrText>
      </w:r>
      <w:r>
        <w:rPr>
          <w:rFonts w:eastAsia="楷体_GB2312"/>
          <w:color w:val="000000"/>
          <w:sz w:val="24"/>
        </w:rPr>
        <w:fldChar w:fldCharType="separate"/>
      </w:r>
      <w:r>
        <w:rPr>
          <w:rFonts w:eastAsia="楷体_GB2312"/>
          <w:color w:val="000000"/>
          <w:sz w:val="24"/>
        </w:rPr>
        <w:t>5.1</w:t>
      </w:r>
      <w:r>
        <w:rPr>
          <w:rFonts w:eastAsia="楷体_GB2312"/>
          <w:color w:val="000000"/>
          <w:sz w:val="24"/>
        </w:rPr>
        <w:fldChar w:fldCharType="end"/>
      </w:r>
      <w:r>
        <w:rPr>
          <w:rFonts w:eastAsia="楷体_GB2312"/>
          <w:color w:val="000000"/>
          <w:sz w:val="24"/>
        </w:rPr>
        <w:t>款的约定履行发送“权利完善通知”的义务，本行无条件、不可撤销地授权贵公司以本行的名义代为履行《信托合同》第</w:t>
      </w:r>
      <w:r>
        <w:rPr>
          <w:rFonts w:eastAsia="楷体_GB2312"/>
          <w:color w:val="000000"/>
          <w:sz w:val="24"/>
        </w:rPr>
        <w:fldChar w:fldCharType="begin"/>
      </w:r>
      <w:r>
        <w:rPr>
          <w:rFonts w:eastAsia="楷体_GB2312"/>
          <w:color w:val="000000"/>
          <w:sz w:val="24"/>
        </w:rPr>
        <w:instrText xml:space="preserve"> REF _Ref201483510 \r \h  \* MERGEFORMAT </w:instrText>
      </w:r>
      <w:r>
        <w:rPr>
          <w:rFonts w:eastAsia="楷体_GB2312"/>
          <w:color w:val="000000"/>
          <w:sz w:val="24"/>
        </w:rPr>
        <w:fldChar w:fldCharType="separate"/>
      </w:r>
      <w:r>
        <w:rPr>
          <w:rFonts w:eastAsia="楷体_GB2312"/>
          <w:color w:val="000000"/>
          <w:sz w:val="24"/>
        </w:rPr>
        <w:t>5.1</w:t>
      </w:r>
      <w:r>
        <w:rPr>
          <w:rFonts w:eastAsia="楷体_GB2312"/>
          <w:color w:val="000000"/>
          <w:sz w:val="24"/>
        </w:rPr>
        <w:fldChar w:fldCharType="end"/>
      </w:r>
      <w:r>
        <w:rPr>
          <w:rFonts w:eastAsia="楷体_GB2312"/>
          <w:color w:val="000000"/>
          <w:sz w:val="24"/>
        </w:rPr>
        <w:t>款约定的通知义务，并同意认可和确认贵公司根据本授权书合法做出的合理行为。</w:t>
      </w:r>
    </w:p>
    <w:p w14:paraId="4BBD1C7C">
      <w:pPr>
        <w:spacing w:line="360" w:lineRule="auto"/>
        <w:ind w:firstLine="420"/>
        <w:rPr>
          <w:rFonts w:eastAsia="楷体_GB2312"/>
          <w:color w:val="000000"/>
          <w:sz w:val="24"/>
        </w:rPr>
      </w:pPr>
    </w:p>
    <w:p w14:paraId="30FAAA9F">
      <w:pPr>
        <w:spacing w:line="360" w:lineRule="auto"/>
        <w:ind w:firstLine="420"/>
        <w:rPr>
          <w:rFonts w:eastAsia="楷体_GB2312"/>
          <w:color w:val="000000"/>
          <w:sz w:val="24"/>
        </w:rPr>
      </w:pPr>
      <w:r>
        <w:rPr>
          <w:rFonts w:eastAsia="楷体_GB2312"/>
          <w:color w:val="000000"/>
          <w:sz w:val="24"/>
        </w:rPr>
        <w:t>除上下文特别说明以外，本授权书中所使用的词语，与《【信托名称】主定义表》中所定义的相应词语，具有相同的含义。</w:t>
      </w:r>
    </w:p>
    <w:p w14:paraId="1B706CFB">
      <w:pPr>
        <w:spacing w:line="360" w:lineRule="auto"/>
        <w:ind w:firstLine="420"/>
        <w:rPr>
          <w:rFonts w:eastAsia="楷体_GB2312"/>
          <w:color w:val="000000"/>
          <w:sz w:val="24"/>
        </w:rPr>
      </w:pPr>
    </w:p>
    <w:p w14:paraId="43119D25">
      <w:pPr>
        <w:spacing w:line="360" w:lineRule="auto"/>
        <w:ind w:firstLine="420"/>
        <w:rPr>
          <w:rFonts w:eastAsia="楷体_GB2312"/>
          <w:color w:val="000000"/>
          <w:sz w:val="24"/>
        </w:rPr>
      </w:pPr>
      <w:r>
        <w:rPr>
          <w:rFonts w:eastAsia="楷体_GB2312"/>
          <w:color w:val="000000"/>
          <w:sz w:val="24"/>
        </w:rPr>
        <w:t>本授权书的有效期为自签署之日起至信托清算完毕之日止。</w:t>
      </w:r>
    </w:p>
    <w:p w14:paraId="15C6649E">
      <w:pPr>
        <w:spacing w:line="360" w:lineRule="auto"/>
        <w:rPr>
          <w:rFonts w:eastAsia="楷体_GB2312"/>
          <w:color w:val="000000"/>
          <w:sz w:val="24"/>
        </w:rPr>
      </w:pPr>
    </w:p>
    <w:p w14:paraId="770EC282">
      <w:pPr>
        <w:spacing w:line="360" w:lineRule="auto"/>
        <w:jc w:val="right"/>
        <w:rPr>
          <w:rFonts w:eastAsia="楷体_GB2312"/>
          <w:color w:val="000000"/>
          <w:sz w:val="24"/>
        </w:rPr>
      </w:pPr>
      <w:r>
        <w:rPr>
          <w:rFonts w:eastAsia="楷体_GB2312"/>
          <w:color w:val="000000"/>
          <w:sz w:val="24"/>
        </w:rPr>
        <w:t>【发起机构全称】</w:t>
      </w:r>
    </w:p>
    <w:p w14:paraId="0C48EF83">
      <w:pPr>
        <w:spacing w:line="360" w:lineRule="auto"/>
        <w:jc w:val="right"/>
        <w:rPr>
          <w:rFonts w:eastAsia="楷体_GB2312"/>
          <w:color w:val="000000"/>
          <w:sz w:val="24"/>
        </w:rPr>
      </w:pPr>
    </w:p>
    <w:p w14:paraId="651938D9">
      <w:pPr>
        <w:spacing w:line="360" w:lineRule="auto"/>
        <w:jc w:val="right"/>
        <w:rPr>
          <w:rFonts w:eastAsia="楷体_GB2312"/>
          <w:color w:val="000000"/>
          <w:sz w:val="24"/>
        </w:rPr>
      </w:pPr>
      <w:r>
        <w:rPr>
          <w:rFonts w:eastAsia="楷体_GB2312"/>
          <w:color w:val="000000"/>
          <w:sz w:val="24"/>
        </w:rPr>
        <w:t>法定代表人或授权代理人：</w:t>
      </w:r>
    </w:p>
    <w:p w14:paraId="13A6C8E2">
      <w:pPr>
        <w:spacing w:line="360" w:lineRule="auto"/>
        <w:jc w:val="right"/>
        <w:rPr>
          <w:rFonts w:eastAsia="楷体_GB2312"/>
          <w:color w:val="000000"/>
          <w:sz w:val="24"/>
        </w:rPr>
      </w:pPr>
    </w:p>
    <w:p w14:paraId="007536BC">
      <w:pPr>
        <w:spacing w:line="360" w:lineRule="auto"/>
        <w:jc w:val="right"/>
        <w:rPr>
          <w:rFonts w:eastAsia="楷体_GB2312"/>
          <w:color w:val="000000"/>
          <w:sz w:val="24"/>
        </w:rPr>
      </w:pPr>
      <w:r>
        <w:rPr>
          <w:rFonts w:eastAsia="楷体_GB2312"/>
          <w:color w:val="000000"/>
          <w:sz w:val="24"/>
        </w:rPr>
        <w:t>【  】年【  】月【  】日</w:t>
      </w:r>
    </w:p>
    <w:p w14:paraId="2BC1795A">
      <w:pPr>
        <w:spacing w:line="360" w:lineRule="auto"/>
        <w:outlineLvl w:val="0"/>
        <w:rPr>
          <w:rFonts w:eastAsia="楷体_GB2312"/>
          <w:b/>
          <w:color w:val="000000"/>
          <w:sz w:val="24"/>
        </w:rPr>
      </w:pPr>
      <w:r>
        <w:rPr>
          <w:rFonts w:eastAsia="楷体_GB2312"/>
          <w:color w:val="000000"/>
        </w:rPr>
        <w:br w:type="page"/>
      </w:r>
      <w:bookmarkStart w:id="1764" w:name="_Toc219710703"/>
      <w:bookmarkStart w:id="1765" w:name="_Toc225538184"/>
      <w:r>
        <w:rPr>
          <w:rFonts w:eastAsia="楷体_GB2312"/>
          <w:b/>
          <w:color w:val="000000"/>
          <w:sz w:val="24"/>
        </w:rPr>
        <w:t>附件五：资产支持证券本金还款金额计算方式</w:t>
      </w:r>
      <w:bookmarkEnd w:id="1764"/>
      <w:bookmarkEnd w:id="1765"/>
    </w:p>
    <w:p w14:paraId="38594E3C">
      <w:pPr>
        <w:spacing w:line="360" w:lineRule="auto"/>
        <w:jc w:val="center"/>
        <w:rPr>
          <w:rFonts w:eastAsia="楷体_GB2312"/>
          <w:b/>
          <w:color w:val="000000"/>
          <w:sz w:val="24"/>
        </w:rPr>
      </w:pPr>
      <w:r>
        <w:rPr>
          <w:rFonts w:eastAsia="楷体_GB2312"/>
          <w:b/>
          <w:color w:val="000000"/>
          <w:sz w:val="24"/>
        </w:rPr>
        <w:t>资产支持证券本金还款金额计算方式</w:t>
      </w:r>
    </w:p>
    <w:p w14:paraId="551B1F49">
      <w:pPr>
        <w:spacing w:line="360" w:lineRule="auto"/>
        <w:ind w:firstLine="480" w:firstLineChars="200"/>
        <w:rPr>
          <w:rFonts w:eastAsia="楷体_GB2312"/>
          <w:color w:val="000000"/>
          <w:sz w:val="24"/>
        </w:rPr>
      </w:pPr>
      <w:r>
        <w:rPr>
          <w:rFonts w:eastAsia="楷体_GB2312"/>
          <w:color w:val="000000"/>
          <w:sz w:val="24"/>
        </w:rPr>
        <w:t>任何一期（“本期”）的资产支持证券的本金还款金额按照如下方式计算：</w:t>
      </w:r>
    </w:p>
    <w:p w14:paraId="0C8C209E">
      <w:pPr>
        <w:spacing w:line="360" w:lineRule="auto"/>
        <w:ind w:firstLine="480" w:firstLineChars="200"/>
        <w:rPr>
          <w:rFonts w:eastAsia="楷体_GB2312"/>
          <w:color w:val="000000"/>
          <w:sz w:val="24"/>
        </w:rPr>
      </w:pPr>
      <w:r>
        <w:rPr>
          <w:rFonts w:eastAsia="楷体_GB2312"/>
          <w:color w:val="000000"/>
          <w:sz w:val="24"/>
        </w:rPr>
        <w:t>本期每百元面额兑付本金额计算时采用去尾法取位到人民币分位，不做四舍五入进位，由此产生的本金还款金额余额部分转存下一期（“转存下期本金还款金额”），与下一期本金还款金额合并后，计算该下一期本金还款金额。以后各期的本金还款金额计算依此类推。</w:t>
      </w:r>
    </w:p>
    <w:tbl>
      <w:tblPr>
        <w:tblStyle w:val="28"/>
        <w:tblW w:w="0" w:type="auto"/>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82"/>
        <w:gridCol w:w="237"/>
        <w:gridCol w:w="2476"/>
        <w:gridCol w:w="267"/>
        <w:gridCol w:w="2710"/>
      </w:tblGrid>
      <w:tr w14:paraId="07949E5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2782" w:type="dxa"/>
            <w:tcBorders>
              <w:bottom w:val="single" w:color="008000" w:sz="6" w:space="0"/>
            </w:tcBorders>
          </w:tcPr>
          <w:p w14:paraId="76CC12DB">
            <w:pPr>
              <w:spacing w:line="360" w:lineRule="auto"/>
              <w:rPr>
                <w:rFonts w:eastAsia="楷体_GB2312"/>
                <w:color w:val="000000"/>
                <w:sz w:val="24"/>
              </w:rPr>
            </w:pPr>
          </w:p>
        </w:tc>
        <w:tc>
          <w:tcPr>
            <w:tcW w:w="237" w:type="dxa"/>
            <w:tcBorders>
              <w:bottom w:val="single" w:color="008000" w:sz="6" w:space="0"/>
            </w:tcBorders>
          </w:tcPr>
          <w:p w14:paraId="0DFC4403">
            <w:pPr>
              <w:spacing w:line="360" w:lineRule="auto"/>
              <w:rPr>
                <w:rFonts w:eastAsia="楷体_GB2312"/>
                <w:color w:val="000000"/>
                <w:sz w:val="24"/>
              </w:rPr>
            </w:pPr>
          </w:p>
        </w:tc>
        <w:tc>
          <w:tcPr>
            <w:tcW w:w="2476" w:type="dxa"/>
            <w:tcBorders>
              <w:bottom w:val="single" w:color="008000" w:sz="6" w:space="0"/>
            </w:tcBorders>
          </w:tcPr>
          <w:p w14:paraId="21C9E2A9">
            <w:pPr>
              <w:spacing w:line="360" w:lineRule="auto"/>
              <w:rPr>
                <w:rFonts w:eastAsia="楷体_GB2312"/>
                <w:color w:val="000000"/>
                <w:sz w:val="24"/>
              </w:rPr>
            </w:pPr>
            <w:r>
              <w:rPr>
                <w:rFonts w:eastAsia="楷体_GB2312"/>
                <w:color w:val="000000"/>
                <w:sz w:val="24"/>
              </w:rPr>
              <w:t>优先级资产支持证券</w:t>
            </w:r>
          </w:p>
        </w:tc>
        <w:tc>
          <w:tcPr>
            <w:tcW w:w="267" w:type="dxa"/>
            <w:tcBorders>
              <w:bottom w:val="single" w:color="008000" w:sz="6" w:space="0"/>
            </w:tcBorders>
          </w:tcPr>
          <w:p w14:paraId="59093061">
            <w:pPr>
              <w:spacing w:line="360" w:lineRule="auto"/>
              <w:rPr>
                <w:rFonts w:eastAsia="楷体_GB2312"/>
                <w:color w:val="000000"/>
                <w:sz w:val="24"/>
              </w:rPr>
            </w:pPr>
          </w:p>
        </w:tc>
        <w:tc>
          <w:tcPr>
            <w:tcW w:w="2710" w:type="dxa"/>
            <w:tcBorders>
              <w:bottom w:val="single" w:color="008000" w:sz="6" w:space="0"/>
            </w:tcBorders>
          </w:tcPr>
          <w:p w14:paraId="5091E1EA">
            <w:pPr>
              <w:spacing w:line="360" w:lineRule="auto"/>
              <w:rPr>
                <w:rFonts w:eastAsia="楷体_GB2312"/>
                <w:color w:val="000000"/>
                <w:sz w:val="24"/>
              </w:rPr>
            </w:pPr>
            <w:r>
              <w:rPr>
                <w:rFonts w:eastAsia="楷体_GB2312"/>
                <w:color w:val="000000"/>
                <w:sz w:val="24"/>
              </w:rPr>
              <w:t>次级资产支持证券</w:t>
            </w:r>
          </w:p>
        </w:tc>
      </w:tr>
      <w:tr w14:paraId="48C21798">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782" w:type="dxa"/>
          </w:tcPr>
          <w:p w14:paraId="6B8AF1ED">
            <w:pPr>
              <w:spacing w:line="360" w:lineRule="auto"/>
              <w:rPr>
                <w:rFonts w:eastAsia="楷体_GB2312"/>
                <w:color w:val="000000"/>
                <w:sz w:val="24"/>
              </w:rPr>
            </w:pPr>
            <w:r>
              <w:rPr>
                <w:rFonts w:eastAsia="楷体_GB2312"/>
                <w:color w:val="000000"/>
                <w:sz w:val="24"/>
              </w:rPr>
              <w:t>本期可分配本金总额</w:t>
            </w:r>
            <w:r>
              <w:rPr>
                <w:rFonts w:eastAsia="楷体_GB2312"/>
                <w:color w:val="000000"/>
                <w:sz w:val="22"/>
                <w:vertAlign w:val="superscript"/>
              </w:rPr>
              <w:t>1</w:t>
            </w:r>
          </w:p>
        </w:tc>
        <w:tc>
          <w:tcPr>
            <w:tcW w:w="237" w:type="dxa"/>
          </w:tcPr>
          <w:p w14:paraId="4C700323">
            <w:pPr>
              <w:spacing w:line="360" w:lineRule="auto"/>
              <w:rPr>
                <w:rFonts w:eastAsia="楷体_GB2312"/>
                <w:color w:val="000000"/>
                <w:sz w:val="24"/>
              </w:rPr>
            </w:pPr>
          </w:p>
        </w:tc>
        <w:tc>
          <w:tcPr>
            <w:tcW w:w="2476" w:type="dxa"/>
          </w:tcPr>
          <w:p w14:paraId="0035413E">
            <w:pPr>
              <w:spacing w:line="360" w:lineRule="auto"/>
              <w:rPr>
                <w:rFonts w:eastAsia="楷体_GB2312"/>
                <w:color w:val="000000"/>
                <w:sz w:val="24"/>
              </w:rPr>
            </w:pPr>
          </w:p>
        </w:tc>
        <w:tc>
          <w:tcPr>
            <w:tcW w:w="267" w:type="dxa"/>
          </w:tcPr>
          <w:p w14:paraId="16148DBD">
            <w:pPr>
              <w:spacing w:line="360" w:lineRule="auto"/>
              <w:rPr>
                <w:rFonts w:eastAsia="楷体_GB2312"/>
                <w:color w:val="000000"/>
                <w:sz w:val="24"/>
              </w:rPr>
            </w:pPr>
          </w:p>
        </w:tc>
        <w:tc>
          <w:tcPr>
            <w:tcW w:w="2710" w:type="dxa"/>
          </w:tcPr>
          <w:p w14:paraId="2D8E5791">
            <w:pPr>
              <w:spacing w:line="360" w:lineRule="auto"/>
              <w:rPr>
                <w:rFonts w:eastAsia="楷体_GB2312"/>
                <w:color w:val="000000"/>
                <w:sz w:val="24"/>
              </w:rPr>
            </w:pPr>
          </w:p>
        </w:tc>
      </w:tr>
      <w:tr w14:paraId="4171DB8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2782" w:type="dxa"/>
          </w:tcPr>
          <w:p w14:paraId="590FFDEE">
            <w:pPr>
              <w:spacing w:line="360" w:lineRule="auto"/>
              <w:rPr>
                <w:rFonts w:eastAsia="楷体_GB2312"/>
                <w:color w:val="000000"/>
                <w:sz w:val="24"/>
              </w:rPr>
            </w:pPr>
            <w:r>
              <w:rPr>
                <w:rFonts w:eastAsia="楷体_GB2312"/>
                <w:color w:val="000000"/>
                <w:sz w:val="24"/>
              </w:rPr>
              <w:t>本期每百元面额兑付本金额</w:t>
            </w:r>
            <w:r>
              <w:rPr>
                <w:rFonts w:eastAsia="楷体_GB2312"/>
                <w:color w:val="000000"/>
                <w:sz w:val="22"/>
                <w:vertAlign w:val="superscript"/>
              </w:rPr>
              <w:t>2</w:t>
            </w:r>
            <w:r>
              <w:rPr>
                <w:rFonts w:eastAsia="楷体_GB2312"/>
                <w:color w:val="000000"/>
                <w:sz w:val="24"/>
              </w:rPr>
              <w:t>（单位：元）</w:t>
            </w:r>
          </w:p>
        </w:tc>
        <w:tc>
          <w:tcPr>
            <w:tcW w:w="237" w:type="dxa"/>
          </w:tcPr>
          <w:p w14:paraId="558D79E3">
            <w:pPr>
              <w:spacing w:line="360" w:lineRule="auto"/>
              <w:rPr>
                <w:rFonts w:eastAsia="楷体_GB2312"/>
                <w:color w:val="000000"/>
                <w:sz w:val="24"/>
              </w:rPr>
            </w:pPr>
          </w:p>
        </w:tc>
        <w:tc>
          <w:tcPr>
            <w:tcW w:w="2476" w:type="dxa"/>
          </w:tcPr>
          <w:p w14:paraId="2F89DEEB">
            <w:pPr>
              <w:spacing w:line="360" w:lineRule="auto"/>
              <w:rPr>
                <w:rFonts w:eastAsia="楷体_GB2312"/>
                <w:color w:val="000000"/>
                <w:sz w:val="24"/>
              </w:rPr>
            </w:pPr>
          </w:p>
        </w:tc>
        <w:tc>
          <w:tcPr>
            <w:tcW w:w="267" w:type="dxa"/>
          </w:tcPr>
          <w:p w14:paraId="5739B4F6">
            <w:pPr>
              <w:spacing w:line="360" w:lineRule="auto"/>
              <w:rPr>
                <w:rFonts w:eastAsia="楷体_GB2312"/>
                <w:color w:val="000000"/>
                <w:sz w:val="24"/>
              </w:rPr>
            </w:pPr>
          </w:p>
        </w:tc>
        <w:tc>
          <w:tcPr>
            <w:tcW w:w="2710" w:type="dxa"/>
          </w:tcPr>
          <w:p w14:paraId="5BE0282B">
            <w:pPr>
              <w:spacing w:line="360" w:lineRule="auto"/>
              <w:rPr>
                <w:rFonts w:eastAsia="楷体_GB2312"/>
                <w:color w:val="000000"/>
                <w:sz w:val="24"/>
              </w:rPr>
            </w:pPr>
          </w:p>
        </w:tc>
      </w:tr>
      <w:tr w14:paraId="5CCF9F73">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2782" w:type="dxa"/>
          </w:tcPr>
          <w:p w14:paraId="48009992">
            <w:pPr>
              <w:spacing w:line="360" w:lineRule="auto"/>
              <w:rPr>
                <w:rFonts w:eastAsia="楷体_GB2312"/>
                <w:color w:val="000000"/>
                <w:sz w:val="24"/>
              </w:rPr>
            </w:pPr>
            <w:r>
              <w:rPr>
                <w:rFonts w:eastAsia="楷体_GB2312"/>
                <w:color w:val="000000"/>
                <w:sz w:val="24"/>
              </w:rPr>
              <w:t>本期兑付本金总额</w:t>
            </w:r>
            <w:r>
              <w:rPr>
                <w:rFonts w:eastAsia="楷体_GB2312"/>
                <w:color w:val="000000"/>
                <w:sz w:val="22"/>
                <w:vertAlign w:val="superscript"/>
              </w:rPr>
              <w:t>3</w:t>
            </w:r>
            <w:r>
              <w:rPr>
                <w:rFonts w:eastAsia="楷体_GB2312"/>
                <w:color w:val="000000"/>
                <w:sz w:val="24"/>
              </w:rPr>
              <w:t>（单位：元）</w:t>
            </w:r>
          </w:p>
        </w:tc>
        <w:tc>
          <w:tcPr>
            <w:tcW w:w="237" w:type="dxa"/>
          </w:tcPr>
          <w:p w14:paraId="5A105EB6">
            <w:pPr>
              <w:spacing w:line="360" w:lineRule="auto"/>
              <w:rPr>
                <w:rFonts w:eastAsia="楷体_GB2312"/>
                <w:color w:val="000000"/>
                <w:sz w:val="24"/>
              </w:rPr>
            </w:pPr>
          </w:p>
        </w:tc>
        <w:tc>
          <w:tcPr>
            <w:tcW w:w="2476" w:type="dxa"/>
          </w:tcPr>
          <w:p w14:paraId="410E62CE">
            <w:pPr>
              <w:spacing w:line="360" w:lineRule="auto"/>
              <w:rPr>
                <w:rFonts w:eastAsia="楷体_GB2312"/>
                <w:color w:val="000000"/>
                <w:sz w:val="24"/>
              </w:rPr>
            </w:pPr>
          </w:p>
        </w:tc>
        <w:tc>
          <w:tcPr>
            <w:tcW w:w="267" w:type="dxa"/>
          </w:tcPr>
          <w:p w14:paraId="5FF147E2">
            <w:pPr>
              <w:spacing w:line="360" w:lineRule="auto"/>
              <w:rPr>
                <w:rFonts w:eastAsia="楷体_GB2312"/>
                <w:color w:val="000000"/>
                <w:sz w:val="24"/>
              </w:rPr>
            </w:pPr>
          </w:p>
        </w:tc>
        <w:tc>
          <w:tcPr>
            <w:tcW w:w="2710" w:type="dxa"/>
          </w:tcPr>
          <w:p w14:paraId="465F9B24">
            <w:pPr>
              <w:spacing w:line="360" w:lineRule="auto"/>
              <w:rPr>
                <w:rFonts w:eastAsia="楷体_GB2312"/>
                <w:color w:val="000000"/>
                <w:sz w:val="24"/>
              </w:rPr>
            </w:pPr>
          </w:p>
        </w:tc>
      </w:tr>
      <w:tr w14:paraId="5F75785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2782" w:type="dxa"/>
          </w:tcPr>
          <w:p w14:paraId="2424E3C8">
            <w:pPr>
              <w:spacing w:line="360" w:lineRule="auto"/>
              <w:rPr>
                <w:rFonts w:eastAsia="楷体_GB2312"/>
                <w:color w:val="000000"/>
                <w:sz w:val="24"/>
              </w:rPr>
            </w:pPr>
            <w:r>
              <w:rPr>
                <w:rFonts w:eastAsia="楷体_GB2312"/>
                <w:color w:val="000000"/>
                <w:sz w:val="24"/>
              </w:rPr>
              <w:t>转存下期每百元面额本金还款额</w:t>
            </w:r>
            <w:r>
              <w:rPr>
                <w:rFonts w:eastAsia="楷体_GB2312"/>
                <w:color w:val="000000"/>
                <w:sz w:val="22"/>
                <w:vertAlign w:val="superscript"/>
              </w:rPr>
              <w:t>4</w:t>
            </w:r>
            <w:r>
              <w:rPr>
                <w:rFonts w:eastAsia="楷体_GB2312"/>
                <w:color w:val="000000"/>
                <w:sz w:val="24"/>
              </w:rPr>
              <w:t>（单位：元）</w:t>
            </w:r>
          </w:p>
        </w:tc>
        <w:tc>
          <w:tcPr>
            <w:tcW w:w="237" w:type="dxa"/>
          </w:tcPr>
          <w:p w14:paraId="364343CD">
            <w:pPr>
              <w:spacing w:line="360" w:lineRule="auto"/>
              <w:rPr>
                <w:rFonts w:eastAsia="楷体_GB2312"/>
                <w:color w:val="000000"/>
                <w:sz w:val="24"/>
              </w:rPr>
            </w:pPr>
          </w:p>
        </w:tc>
        <w:tc>
          <w:tcPr>
            <w:tcW w:w="2476" w:type="dxa"/>
          </w:tcPr>
          <w:p w14:paraId="4D8CE8A3">
            <w:pPr>
              <w:spacing w:line="360" w:lineRule="auto"/>
              <w:rPr>
                <w:rFonts w:eastAsia="楷体_GB2312"/>
                <w:color w:val="000000"/>
                <w:sz w:val="24"/>
              </w:rPr>
            </w:pPr>
          </w:p>
        </w:tc>
        <w:tc>
          <w:tcPr>
            <w:tcW w:w="267" w:type="dxa"/>
          </w:tcPr>
          <w:p w14:paraId="31C594E6">
            <w:pPr>
              <w:spacing w:line="360" w:lineRule="auto"/>
              <w:rPr>
                <w:rFonts w:eastAsia="楷体_GB2312"/>
                <w:color w:val="000000"/>
                <w:sz w:val="24"/>
              </w:rPr>
            </w:pPr>
          </w:p>
        </w:tc>
        <w:tc>
          <w:tcPr>
            <w:tcW w:w="2710" w:type="dxa"/>
          </w:tcPr>
          <w:p w14:paraId="03EE13AD">
            <w:pPr>
              <w:spacing w:line="360" w:lineRule="auto"/>
              <w:rPr>
                <w:rFonts w:eastAsia="楷体_GB2312"/>
                <w:color w:val="000000"/>
                <w:sz w:val="24"/>
              </w:rPr>
            </w:pPr>
          </w:p>
        </w:tc>
      </w:tr>
      <w:tr w14:paraId="4629907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2782" w:type="dxa"/>
            <w:tcBorders>
              <w:top w:val="single" w:color="008000" w:sz="6" w:space="0"/>
            </w:tcBorders>
          </w:tcPr>
          <w:p w14:paraId="389666B1">
            <w:pPr>
              <w:spacing w:line="360" w:lineRule="auto"/>
              <w:rPr>
                <w:rFonts w:eastAsia="楷体_GB2312"/>
                <w:color w:val="000000"/>
                <w:sz w:val="24"/>
              </w:rPr>
            </w:pPr>
            <w:r>
              <w:rPr>
                <w:rFonts w:eastAsia="楷体_GB2312"/>
                <w:color w:val="000000"/>
                <w:sz w:val="24"/>
              </w:rPr>
              <w:t>转存下期本金还款金额</w:t>
            </w:r>
            <w:r>
              <w:rPr>
                <w:rFonts w:eastAsia="楷体_GB2312"/>
                <w:color w:val="000000"/>
                <w:sz w:val="22"/>
                <w:vertAlign w:val="superscript"/>
              </w:rPr>
              <w:t>5</w:t>
            </w:r>
            <w:r>
              <w:rPr>
                <w:rFonts w:eastAsia="楷体_GB2312"/>
                <w:color w:val="000000"/>
                <w:sz w:val="24"/>
              </w:rPr>
              <w:t>（单位：元）</w:t>
            </w:r>
          </w:p>
        </w:tc>
        <w:tc>
          <w:tcPr>
            <w:tcW w:w="237" w:type="dxa"/>
            <w:tcBorders>
              <w:top w:val="single" w:color="008000" w:sz="6" w:space="0"/>
            </w:tcBorders>
          </w:tcPr>
          <w:p w14:paraId="7CEE59E8">
            <w:pPr>
              <w:spacing w:line="360" w:lineRule="auto"/>
              <w:rPr>
                <w:rFonts w:eastAsia="楷体_GB2312"/>
                <w:color w:val="000000"/>
                <w:sz w:val="24"/>
              </w:rPr>
            </w:pPr>
          </w:p>
        </w:tc>
        <w:tc>
          <w:tcPr>
            <w:tcW w:w="2476" w:type="dxa"/>
            <w:tcBorders>
              <w:top w:val="single" w:color="008000" w:sz="6" w:space="0"/>
            </w:tcBorders>
          </w:tcPr>
          <w:p w14:paraId="5EFC0FAB">
            <w:pPr>
              <w:spacing w:line="360" w:lineRule="auto"/>
              <w:rPr>
                <w:rFonts w:eastAsia="楷体_GB2312"/>
                <w:color w:val="000000"/>
                <w:sz w:val="24"/>
              </w:rPr>
            </w:pPr>
          </w:p>
        </w:tc>
        <w:tc>
          <w:tcPr>
            <w:tcW w:w="267" w:type="dxa"/>
            <w:tcBorders>
              <w:top w:val="single" w:color="008000" w:sz="6" w:space="0"/>
            </w:tcBorders>
          </w:tcPr>
          <w:p w14:paraId="06F1ECAA">
            <w:pPr>
              <w:spacing w:line="360" w:lineRule="auto"/>
              <w:rPr>
                <w:rFonts w:eastAsia="楷体_GB2312"/>
                <w:color w:val="000000"/>
                <w:sz w:val="24"/>
              </w:rPr>
            </w:pPr>
          </w:p>
        </w:tc>
        <w:tc>
          <w:tcPr>
            <w:tcW w:w="2710" w:type="dxa"/>
            <w:tcBorders>
              <w:top w:val="single" w:color="008000" w:sz="6" w:space="0"/>
            </w:tcBorders>
          </w:tcPr>
          <w:p w14:paraId="0A10EB8F">
            <w:pPr>
              <w:spacing w:line="360" w:lineRule="auto"/>
              <w:rPr>
                <w:rFonts w:eastAsia="楷体_GB2312"/>
                <w:color w:val="000000"/>
                <w:sz w:val="24"/>
              </w:rPr>
            </w:pPr>
          </w:p>
        </w:tc>
      </w:tr>
    </w:tbl>
    <w:p w14:paraId="4397CB98">
      <w:pPr>
        <w:spacing w:line="360" w:lineRule="auto"/>
        <w:ind w:firstLine="480" w:firstLineChars="200"/>
        <w:rPr>
          <w:rFonts w:eastAsia="楷体_GB2312"/>
          <w:color w:val="000000"/>
          <w:sz w:val="24"/>
        </w:rPr>
      </w:pPr>
    </w:p>
    <w:p w14:paraId="316A600F">
      <w:pPr>
        <w:spacing w:line="360" w:lineRule="auto"/>
        <w:ind w:left="617" w:hanging="616" w:hangingChars="257"/>
        <w:rPr>
          <w:rFonts w:eastAsia="楷体_GB2312"/>
          <w:color w:val="000000"/>
          <w:sz w:val="24"/>
        </w:rPr>
      </w:pPr>
      <w:r>
        <w:rPr>
          <w:rFonts w:eastAsia="楷体_GB2312"/>
          <w:color w:val="000000"/>
          <w:sz w:val="24"/>
        </w:rPr>
        <w:t>说明：</w:t>
      </w:r>
    </w:p>
    <w:p w14:paraId="58F3F11F">
      <w:pPr>
        <w:numPr>
          <w:ilvl w:val="0"/>
          <w:numId w:val="41"/>
        </w:numPr>
        <w:spacing w:line="360" w:lineRule="auto"/>
        <w:rPr>
          <w:rFonts w:eastAsia="楷体_GB2312"/>
          <w:color w:val="000000"/>
          <w:sz w:val="24"/>
        </w:rPr>
      </w:pPr>
      <w:r>
        <w:rPr>
          <w:rFonts w:eastAsia="楷体_GB2312"/>
          <w:color w:val="000000"/>
          <w:sz w:val="24"/>
        </w:rPr>
        <w:t>本期可分配本金总额：系指本期处置收入中用于本金分配的资金（“本期可分配本金金额”）与上期转存金额之和。</w:t>
      </w:r>
    </w:p>
    <w:p w14:paraId="21760BA7">
      <w:pPr>
        <w:numPr>
          <w:ilvl w:val="0"/>
          <w:numId w:val="41"/>
        </w:numPr>
        <w:spacing w:line="360" w:lineRule="auto"/>
        <w:rPr>
          <w:rFonts w:eastAsia="楷体_GB2312"/>
          <w:color w:val="000000"/>
          <w:sz w:val="24"/>
        </w:rPr>
      </w:pPr>
      <w:r>
        <w:rPr>
          <w:rFonts w:eastAsia="楷体_GB2312"/>
          <w:color w:val="000000"/>
          <w:sz w:val="24"/>
        </w:rPr>
        <w:t>本期每百元面额兑付本金额的计算：</w:t>
      </w:r>
    </w:p>
    <w:p w14:paraId="48A9D3E5">
      <w:pPr>
        <w:numPr>
          <w:ilvl w:val="0"/>
          <w:numId w:val="42"/>
        </w:numPr>
        <w:spacing w:line="360" w:lineRule="auto"/>
        <w:rPr>
          <w:rFonts w:eastAsia="楷体_GB2312"/>
          <w:color w:val="000000"/>
          <w:sz w:val="24"/>
        </w:rPr>
      </w:pPr>
      <w:r>
        <w:rPr>
          <w:rFonts w:eastAsia="楷体_GB2312"/>
          <w:color w:val="000000"/>
          <w:sz w:val="24"/>
        </w:rPr>
        <w:t>某一期的本期可分配本金总额不足以偿付完毕当期级别最高的资产支持证券本金余额时，当期级别最高的资产支持证券的“本期每百元面额兑付本金额”=本期可分配本金总额/该档资产支持证券份数，所得数值取位到人民币分位，不做四舍五入进位；其余级别资产支持证券的“本期每百元面额兑付本金额”为零。</w:t>
      </w:r>
    </w:p>
    <w:p w14:paraId="3632C3F2">
      <w:pPr>
        <w:numPr>
          <w:ilvl w:val="0"/>
          <w:numId w:val="42"/>
        </w:numPr>
        <w:spacing w:line="360" w:lineRule="auto"/>
        <w:rPr>
          <w:rFonts w:eastAsia="楷体_GB2312"/>
          <w:color w:val="000000"/>
          <w:sz w:val="24"/>
        </w:rPr>
      </w:pPr>
      <w:r>
        <w:rPr>
          <w:rFonts w:eastAsia="楷体_GB2312"/>
          <w:color w:val="000000"/>
          <w:sz w:val="24"/>
        </w:rPr>
        <w:t>当某一期本期可分配本金总额不仅能偿付完毕当期高级别的某一级或某连续几档资产支持证券本金余额、且仍有资金剩余用于偿付下一级别的资产支持证券（以下简称“最后受偿的级别的资产支持证券”）的本金时，则被偿付完毕的级别较高的资产支持证券的“本期每百元面额兑付本金额”=本期期初该级资产支持证券每百元面额的本金余额；最后受偿的级别的资产支持证券的“本期每百元面额兑付本金额”=（本期可分配本金总额-本期用于偿付较高级别资产支持证券的本金金额）/当期最后受偿的级别的资产支持证券的份数，所得数值取位到人民币分位，不做四舍五入进位；未涉及的其余级别的资产支持证券的“本期每百元面额兑付本金额”为零。</w:t>
      </w:r>
    </w:p>
    <w:p w14:paraId="5493E6E4">
      <w:pPr>
        <w:numPr>
          <w:ilvl w:val="0"/>
          <w:numId w:val="41"/>
        </w:numPr>
        <w:spacing w:line="360" w:lineRule="auto"/>
        <w:rPr>
          <w:rFonts w:eastAsia="楷体_GB2312"/>
          <w:color w:val="000000"/>
          <w:sz w:val="24"/>
        </w:rPr>
      </w:pPr>
      <w:r>
        <w:rPr>
          <w:rFonts w:eastAsia="楷体_GB2312"/>
          <w:color w:val="000000"/>
          <w:sz w:val="24"/>
        </w:rPr>
        <w:t>某一档次的资产支持证券的“本期兑付本金总额”=该档资产支持证券的“本期每百元面额兑付本金额”×该档资产支持证券的份数。</w:t>
      </w:r>
    </w:p>
    <w:p w14:paraId="490D99B6">
      <w:pPr>
        <w:numPr>
          <w:ilvl w:val="0"/>
          <w:numId w:val="41"/>
        </w:numPr>
        <w:spacing w:line="360" w:lineRule="auto"/>
        <w:rPr>
          <w:rFonts w:eastAsia="楷体_GB2312"/>
          <w:color w:val="000000"/>
          <w:sz w:val="24"/>
        </w:rPr>
      </w:pPr>
      <w:r>
        <w:rPr>
          <w:rFonts w:eastAsia="楷体_GB2312"/>
          <w:color w:val="000000"/>
          <w:sz w:val="24"/>
        </w:rPr>
        <w:t>转存下期每百元面额本金还款额的计算：</w:t>
      </w:r>
    </w:p>
    <w:p w14:paraId="29CEAFA3">
      <w:pPr>
        <w:numPr>
          <w:ilvl w:val="0"/>
          <w:numId w:val="43"/>
        </w:numPr>
        <w:spacing w:line="360" w:lineRule="auto"/>
        <w:rPr>
          <w:rFonts w:eastAsia="楷体_GB2312"/>
          <w:color w:val="000000"/>
          <w:sz w:val="24"/>
        </w:rPr>
      </w:pPr>
      <w:r>
        <w:rPr>
          <w:rFonts w:eastAsia="楷体_GB2312"/>
          <w:color w:val="000000"/>
          <w:sz w:val="24"/>
        </w:rPr>
        <w:t>当某一期的本期可分配本金总额不足以偿付完毕当期级别最高的资产支持证券本金余额时，该级别的资产支持证券的“转存下期每百元面额本金还款额”=（本期可分配本金总额-该级资产支持证券的“本期兑付本金总额”）/该级资产支持证券份数，所得数值保留到小数点后10位，做四舍五入处理；其余级别的资产支持证券的“转存下期每百元面额本金还款额”为零。</w:t>
      </w:r>
    </w:p>
    <w:p w14:paraId="7934D5DB">
      <w:pPr>
        <w:numPr>
          <w:ilvl w:val="0"/>
          <w:numId w:val="43"/>
        </w:numPr>
        <w:spacing w:line="360" w:lineRule="auto"/>
        <w:rPr>
          <w:rFonts w:eastAsia="楷体_GB2312"/>
          <w:color w:val="000000"/>
          <w:sz w:val="24"/>
        </w:rPr>
      </w:pPr>
      <w:r>
        <w:rPr>
          <w:rFonts w:eastAsia="楷体_GB2312"/>
          <w:color w:val="000000"/>
          <w:sz w:val="24"/>
        </w:rPr>
        <w:t>当某一期的本期可分配本金总额不仅能偿付完毕当期高级别的某一级或某连续几级资产支持证券本金余额、且仍有资金剩余用于偿付下一优先级别的资产支持证券（以下简称“最后受偿的级别的资产支持证券”）的本金时，则被偿付完毕的高级别的资产支持证券的“转存下期每百元面额本金还款额”为零；最后受偿的级别的资产支持证券的“转存下期每百元面额本金还款额”=（本期可分配本金总额-本期用于偿付较高级别资产支持证券的本金金额-该最后受偿的级别的资产支持证券的“本期兑付本金总额”）/当期该级资产支持证券份数，所得数值保留到小数点后10位，做四舍五入处理；其余未涉及的资产支持证券的“转存下期每百元面额本金还款额”为零。</w:t>
      </w:r>
    </w:p>
    <w:p w14:paraId="7AFD23FF">
      <w:pPr>
        <w:numPr>
          <w:ilvl w:val="0"/>
          <w:numId w:val="41"/>
        </w:numPr>
        <w:spacing w:line="360" w:lineRule="auto"/>
        <w:rPr>
          <w:rFonts w:eastAsia="楷体_GB2312"/>
          <w:b/>
          <w:color w:val="000000"/>
          <w:sz w:val="24"/>
        </w:rPr>
      </w:pPr>
      <w:r>
        <w:rPr>
          <w:rFonts w:eastAsia="楷体_GB2312"/>
          <w:color w:val="000000"/>
          <w:sz w:val="24"/>
        </w:rPr>
        <w:t>转存下期本金还款金额：</w:t>
      </w:r>
    </w:p>
    <w:p w14:paraId="5C5AEE23">
      <w:pPr>
        <w:spacing w:line="360" w:lineRule="auto"/>
        <w:ind w:left="360"/>
        <w:rPr>
          <w:rFonts w:eastAsia="楷体_GB2312"/>
          <w:b/>
          <w:color w:val="000000"/>
          <w:sz w:val="24"/>
        </w:rPr>
      </w:pPr>
      <w:r>
        <w:rPr>
          <w:rFonts w:eastAsia="楷体_GB2312"/>
          <w:color w:val="000000"/>
          <w:sz w:val="24"/>
        </w:rPr>
        <w:t>本期的“转存下期本金还款金额”=本期可分配本金总额-∑各档资产支持证券的“本期兑付本金总额”，所取得数值取数到人民币分位人民币。</w:t>
      </w:r>
    </w:p>
    <w:p w14:paraId="276EA256">
      <w:pPr>
        <w:spacing w:line="360" w:lineRule="auto"/>
        <w:outlineLvl w:val="0"/>
        <w:rPr>
          <w:rFonts w:eastAsia="楷体_GB2312"/>
          <w:b/>
          <w:color w:val="000000"/>
          <w:sz w:val="24"/>
        </w:rPr>
      </w:pPr>
      <w:r>
        <w:rPr>
          <w:rFonts w:eastAsia="楷体_GB2312"/>
          <w:color w:val="000000"/>
          <w:sz w:val="24"/>
        </w:rPr>
        <w:br w:type="page"/>
      </w:r>
      <w:bookmarkEnd w:id="1757"/>
      <w:bookmarkEnd w:id="1758"/>
      <w:bookmarkEnd w:id="1759"/>
      <w:bookmarkEnd w:id="1760"/>
      <w:bookmarkStart w:id="1766" w:name="_DV_M625"/>
      <w:bookmarkEnd w:id="1766"/>
      <w:bookmarkStart w:id="1767" w:name="_DV_M641"/>
      <w:bookmarkEnd w:id="1767"/>
      <w:bookmarkStart w:id="1768" w:name="_DV_M644"/>
      <w:bookmarkEnd w:id="1768"/>
      <w:bookmarkStart w:id="1769" w:name="_DV_M634"/>
      <w:bookmarkEnd w:id="1769"/>
      <w:bookmarkStart w:id="1770" w:name="_DV_M645"/>
      <w:bookmarkEnd w:id="1770"/>
      <w:bookmarkStart w:id="1771" w:name="_DV_M626"/>
      <w:bookmarkEnd w:id="1771"/>
      <w:bookmarkStart w:id="1772" w:name="_DV_M635"/>
      <w:bookmarkEnd w:id="1772"/>
      <w:bookmarkStart w:id="1773" w:name="_DV_M803"/>
      <w:bookmarkEnd w:id="1773"/>
      <w:bookmarkStart w:id="1774" w:name="_DV_M802"/>
      <w:bookmarkEnd w:id="1774"/>
      <w:bookmarkStart w:id="1775" w:name="_Toc13816330"/>
      <w:bookmarkEnd w:id="1775"/>
      <w:bookmarkStart w:id="1776" w:name="_DV_M643"/>
      <w:bookmarkEnd w:id="1776"/>
      <w:bookmarkStart w:id="1777" w:name="_Toc473511390"/>
      <w:bookmarkEnd w:id="1777"/>
      <w:bookmarkStart w:id="1778" w:name="_DV_M623"/>
      <w:bookmarkEnd w:id="1778"/>
      <w:bookmarkStart w:id="1779" w:name="_DV_M801"/>
      <w:bookmarkEnd w:id="1779"/>
      <w:bookmarkStart w:id="1780" w:name="_DV_M647"/>
      <w:bookmarkEnd w:id="1780"/>
      <w:bookmarkStart w:id="1781" w:name="_DV_M633"/>
      <w:bookmarkEnd w:id="1781"/>
      <w:bookmarkStart w:id="1782" w:name="_Toc15369301"/>
      <w:bookmarkEnd w:id="1782"/>
      <w:bookmarkStart w:id="1783" w:name="_Toc11139647"/>
      <w:bookmarkEnd w:id="1783"/>
      <w:bookmarkStart w:id="1784" w:name="_DV_M646"/>
      <w:bookmarkEnd w:id="1784"/>
      <w:bookmarkStart w:id="1785" w:name="_DV_M648"/>
      <w:bookmarkEnd w:id="1785"/>
      <w:bookmarkStart w:id="1786" w:name="_DV_M628"/>
      <w:bookmarkEnd w:id="1786"/>
      <w:bookmarkStart w:id="1787" w:name="_DV_M630"/>
      <w:bookmarkEnd w:id="1787"/>
      <w:bookmarkStart w:id="1788" w:name="_DV_M624"/>
      <w:bookmarkEnd w:id="1788"/>
      <w:bookmarkStart w:id="1789" w:name="_Toc225538185"/>
      <w:bookmarkStart w:id="1790" w:name="_Toc219710704"/>
      <w:bookmarkStart w:id="1791" w:name="_Toc17827977"/>
      <w:bookmarkStart w:id="1792" w:name="_Toc201569490"/>
      <w:bookmarkStart w:id="1793" w:name="_Toc335998753"/>
      <w:r>
        <w:rPr>
          <w:rFonts w:eastAsia="楷体_GB2312"/>
          <w:b/>
          <w:color w:val="000000"/>
          <w:sz w:val="24"/>
        </w:rPr>
        <w:t>附件六：清仓回购通知书格式</w:t>
      </w:r>
      <w:bookmarkEnd w:id="1789"/>
      <w:bookmarkEnd w:id="1790"/>
      <w:bookmarkEnd w:id="1791"/>
    </w:p>
    <w:p w14:paraId="5A568D1D">
      <w:pPr>
        <w:spacing w:line="360" w:lineRule="auto"/>
        <w:rPr>
          <w:rFonts w:eastAsia="楷体_GB2312"/>
          <w:color w:val="000000"/>
          <w:sz w:val="24"/>
        </w:rPr>
      </w:pPr>
    </w:p>
    <w:p w14:paraId="45708380">
      <w:pPr>
        <w:spacing w:line="360" w:lineRule="auto"/>
        <w:jc w:val="center"/>
        <w:rPr>
          <w:rFonts w:eastAsia="楷体_GB2312"/>
          <w:color w:val="000000"/>
          <w:sz w:val="28"/>
          <w:szCs w:val="28"/>
        </w:rPr>
      </w:pPr>
      <w:r>
        <w:rPr>
          <w:rFonts w:eastAsia="楷体_GB2312"/>
          <w:b/>
          <w:color w:val="000000"/>
          <w:sz w:val="28"/>
          <w:szCs w:val="28"/>
        </w:rPr>
        <w:t>清仓回购通知书</w:t>
      </w:r>
    </w:p>
    <w:p w14:paraId="0871A9E8">
      <w:pPr>
        <w:spacing w:line="360" w:lineRule="auto"/>
        <w:rPr>
          <w:rFonts w:eastAsia="楷体_GB2312"/>
          <w:color w:val="000000"/>
          <w:sz w:val="24"/>
        </w:rPr>
      </w:pPr>
    </w:p>
    <w:p w14:paraId="0B8FEC0C">
      <w:pPr>
        <w:spacing w:line="360" w:lineRule="auto"/>
        <w:rPr>
          <w:rFonts w:eastAsia="楷体_GB2312"/>
          <w:color w:val="000000"/>
          <w:sz w:val="24"/>
        </w:rPr>
      </w:pPr>
      <w:r>
        <w:rPr>
          <w:rFonts w:eastAsia="楷体_GB2312"/>
          <w:color w:val="000000"/>
          <w:sz w:val="24"/>
        </w:rPr>
        <w:t>致：</w:t>
      </w:r>
      <w:r>
        <w:rPr>
          <w:rFonts w:eastAsia="楷体_GB2312"/>
          <w:color w:val="000000"/>
          <w:sz w:val="24"/>
        </w:rPr>
        <w:tab/>
      </w:r>
      <w:r>
        <w:rPr>
          <w:rFonts w:eastAsia="楷体_GB2312"/>
          <w:color w:val="000000"/>
          <w:sz w:val="24"/>
        </w:rPr>
        <w:t>【受托机构全称】（“受托人”）</w:t>
      </w:r>
    </w:p>
    <w:p w14:paraId="2B5F35C4">
      <w:pPr>
        <w:spacing w:line="360" w:lineRule="auto"/>
        <w:rPr>
          <w:rFonts w:eastAsia="楷体_GB2312"/>
          <w:color w:val="000000"/>
          <w:sz w:val="24"/>
        </w:rPr>
      </w:pPr>
      <w:r>
        <w:rPr>
          <w:rFonts w:eastAsia="楷体_GB2312"/>
          <w:color w:val="000000"/>
          <w:sz w:val="24"/>
        </w:rPr>
        <w:t>日期：_______________</w:t>
      </w:r>
    </w:p>
    <w:p w14:paraId="7E9E7CE3">
      <w:pPr>
        <w:spacing w:line="360" w:lineRule="auto"/>
        <w:rPr>
          <w:rFonts w:eastAsia="楷体_GB2312"/>
          <w:color w:val="000000"/>
          <w:sz w:val="24"/>
        </w:rPr>
      </w:pPr>
    </w:p>
    <w:p w14:paraId="212A04C1">
      <w:pPr>
        <w:spacing w:line="360" w:lineRule="auto"/>
        <w:ind w:left="-58" w:firstLine="480" w:firstLineChars="200"/>
        <w:rPr>
          <w:rFonts w:eastAsia="楷体_GB2312"/>
          <w:color w:val="000000"/>
          <w:sz w:val="24"/>
        </w:rPr>
      </w:pPr>
      <w:r>
        <w:rPr>
          <w:rFonts w:eastAsia="楷体_GB2312"/>
          <w:color w:val="000000"/>
          <w:sz w:val="24"/>
        </w:rPr>
        <w:t>根据【发起机构全称】（“【发起机构简称】”）与【受托机构全称】（“【受托机构简称】”）于【】年【】月【】日签署的编号为【信托合同编号】的《【信托名称】</w:t>
      </w:r>
      <w:r>
        <w:rPr>
          <w:rFonts w:hint="eastAsia" w:eastAsia="楷体_GB2312"/>
          <w:color w:val="000000"/>
          <w:sz w:val="24"/>
        </w:rPr>
        <w:t>之</w:t>
      </w:r>
      <w:r>
        <w:rPr>
          <w:rFonts w:eastAsia="楷体_GB2312"/>
          <w:color w:val="000000"/>
          <w:sz w:val="24"/>
        </w:rPr>
        <w:t>信托合同》（“《信托合同》”）的约定，本行（作为“委托人”）向贵公司（作为“受托人”）通知如下：</w:t>
      </w:r>
    </w:p>
    <w:p w14:paraId="6405365B">
      <w:pPr>
        <w:numPr>
          <w:ilvl w:val="0"/>
          <w:numId w:val="44"/>
        </w:numPr>
        <w:spacing w:line="360" w:lineRule="auto"/>
        <w:rPr>
          <w:rFonts w:eastAsia="楷体_GB2312"/>
          <w:color w:val="000000"/>
          <w:sz w:val="24"/>
        </w:rPr>
      </w:pPr>
      <w:r>
        <w:rPr>
          <w:rFonts w:eastAsia="楷体_GB2312"/>
          <w:color w:val="000000"/>
          <w:sz w:val="24"/>
        </w:rPr>
        <w:t>本行拟按照“《信托合同》”第</w:t>
      </w:r>
      <w:r>
        <w:rPr>
          <w:rFonts w:eastAsia="楷体_GB2312"/>
          <w:color w:val="000000"/>
          <w:sz w:val="24"/>
        </w:rPr>
        <w:fldChar w:fldCharType="begin"/>
      </w:r>
      <w:r>
        <w:rPr>
          <w:rFonts w:eastAsia="楷体_GB2312"/>
          <w:color w:val="000000"/>
          <w:sz w:val="24"/>
        </w:rPr>
        <w:instrText xml:space="preserve"> REF _Ref340400360 \r \h  \* MERGEFORMAT </w:instrText>
      </w:r>
      <w:r>
        <w:rPr>
          <w:rFonts w:eastAsia="楷体_GB2312"/>
          <w:color w:val="000000"/>
          <w:sz w:val="24"/>
        </w:rPr>
        <w:fldChar w:fldCharType="separate"/>
      </w:r>
      <w:r>
        <w:rPr>
          <w:rFonts w:eastAsia="楷体_GB2312"/>
          <w:color w:val="000000"/>
          <w:sz w:val="24"/>
        </w:rPr>
        <w:t>13</w:t>
      </w:r>
      <w:r>
        <w:rPr>
          <w:rFonts w:eastAsia="楷体_GB2312"/>
          <w:color w:val="000000"/>
          <w:sz w:val="24"/>
        </w:rPr>
        <w:fldChar w:fldCharType="end"/>
      </w:r>
      <w:r>
        <w:rPr>
          <w:rFonts w:eastAsia="楷体_GB2312"/>
          <w:color w:val="000000"/>
          <w:sz w:val="24"/>
        </w:rPr>
        <w:t>条的约定“清仓回购”“资产池”；</w:t>
      </w:r>
    </w:p>
    <w:p w14:paraId="37031D85">
      <w:pPr>
        <w:numPr>
          <w:ilvl w:val="0"/>
          <w:numId w:val="44"/>
        </w:numPr>
        <w:spacing w:line="360" w:lineRule="auto"/>
        <w:rPr>
          <w:rFonts w:eastAsia="楷体_GB2312"/>
          <w:color w:val="000000"/>
          <w:sz w:val="24"/>
        </w:rPr>
      </w:pPr>
      <w:r>
        <w:rPr>
          <w:rFonts w:eastAsia="楷体_GB2312"/>
          <w:color w:val="000000"/>
          <w:sz w:val="24"/>
        </w:rPr>
        <w:t>本次“清仓回购”的“回购起算日”系指【】年【】月【】日。</w:t>
      </w:r>
    </w:p>
    <w:p w14:paraId="0D9056B4">
      <w:pPr>
        <w:spacing w:line="360" w:lineRule="auto"/>
        <w:ind w:left="-58" w:firstLine="480" w:firstLineChars="200"/>
        <w:rPr>
          <w:rFonts w:eastAsia="楷体_GB2312"/>
          <w:color w:val="000000"/>
          <w:sz w:val="24"/>
        </w:rPr>
      </w:pPr>
      <w:r>
        <w:rPr>
          <w:rFonts w:eastAsia="楷体_GB2312"/>
          <w:color w:val="000000"/>
          <w:sz w:val="24"/>
        </w:rPr>
        <w:t>若无相反定义，本通知使用的词语和表述与《【信托名称】主定义表》、“《信托合同》”中的相同词语和表述具有相同含义。</w:t>
      </w:r>
    </w:p>
    <w:p w14:paraId="755AF3A1">
      <w:pPr>
        <w:spacing w:line="360" w:lineRule="auto"/>
        <w:rPr>
          <w:rFonts w:eastAsia="楷体_GB2312"/>
          <w:b/>
          <w:color w:val="000000"/>
          <w:sz w:val="28"/>
          <w:szCs w:val="28"/>
        </w:rPr>
      </w:pPr>
    </w:p>
    <w:p w14:paraId="3D416931">
      <w:pPr>
        <w:spacing w:line="360" w:lineRule="auto"/>
        <w:rPr>
          <w:rFonts w:eastAsia="楷体_GB2312"/>
          <w:b/>
          <w:color w:val="000000"/>
          <w:sz w:val="28"/>
          <w:szCs w:val="28"/>
        </w:rPr>
      </w:pPr>
    </w:p>
    <w:p w14:paraId="116D4077">
      <w:pPr>
        <w:spacing w:line="360" w:lineRule="auto"/>
        <w:ind w:left="3780" w:right="480"/>
        <w:jc w:val="center"/>
        <w:rPr>
          <w:rFonts w:eastAsia="楷体_GB2312"/>
          <w:color w:val="000000"/>
          <w:sz w:val="24"/>
        </w:rPr>
      </w:pPr>
      <w:r>
        <w:rPr>
          <w:rFonts w:eastAsia="楷体_GB2312"/>
          <w:color w:val="000000"/>
          <w:sz w:val="24"/>
        </w:rPr>
        <w:t>【发起机构全称】</w:t>
      </w:r>
    </w:p>
    <w:p w14:paraId="274EC988">
      <w:pPr>
        <w:spacing w:line="360" w:lineRule="auto"/>
        <w:ind w:right="480"/>
        <w:jc w:val="right"/>
        <w:rPr>
          <w:rFonts w:eastAsia="楷体_GB2312"/>
          <w:color w:val="000000"/>
          <w:sz w:val="24"/>
        </w:rPr>
      </w:pPr>
      <w:r>
        <w:rPr>
          <w:rFonts w:eastAsia="楷体_GB2312"/>
          <w:color w:val="000000"/>
          <w:sz w:val="24"/>
        </w:rPr>
        <w:t>法定代表人或授权代理人：</w:t>
      </w:r>
    </w:p>
    <w:p w14:paraId="14963802">
      <w:pPr>
        <w:spacing w:line="360" w:lineRule="auto"/>
        <w:ind w:firstLine="4080" w:firstLineChars="1700"/>
        <w:rPr>
          <w:rFonts w:eastAsia="楷体_GB2312"/>
          <w:color w:val="000000"/>
          <w:sz w:val="24"/>
        </w:rPr>
      </w:pPr>
      <w:r>
        <w:rPr>
          <w:rFonts w:eastAsia="楷体_GB2312"/>
          <w:color w:val="000000"/>
          <w:sz w:val="24"/>
        </w:rPr>
        <w:t>【   】年【   】月【   】日</w:t>
      </w:r>
    </w:p>
    <w:p w14:paraId="61EF50C8">
      <w:pPr>
        <w:spacing w:line="360" w:lineRule="auto"/>
        <w:outlineLvl w:val="0"/>
        <w:rPr>
          <w:rFonts w:eastAsia="楷体_GB2312"/>
          <w:b/>
          <w:color w:val="000000"/>
          <w:sz w:val="24"/>
        </w:rPr>
      </w:pPr>
      <w:r>
        <w:rPr>
          <w:rFonts w:eastAsia="楷体_GB2312"/>
          <w:color w:val="000000"/>
          <w:sz w:val="24"/>
        </w:rPr>
        <w:br w:type="page"/>
      </w:r>
      <w:bookmarkStart w:id="1794" w:name="_Toc219710705"/>
      <w:bookmarkStart w:id="1795" w:name="_Toc17827978"/>
      <w:bookmarkStart w:id="1796" w:name="_Toc335998748"/>
      <w:bookmarkStart w:id="1797" w:name="_Toc203893112"/>
      <w:bookmarkStart w:id="1798" w:name="_Toc202174952"/>
      <w:bookmarkStart w:id="1799" w:name="_Toc225538186"/>
      <w:r>
        <w:rPr>
          <w:rFonts w:eastAsia="楷体_GB2312"/>
          <w:b/>
          <w:color w:val="000000"/>
          <w:sz w:val="24"/>
        </w:rPr>
        <w:t>附件七：清仓回购要约通知书格式</w:t>
      </w:r>
      <w:bookmarkEnd w:id="1794"/>
      <w:bookmarkEnd w:id="1795"/>
      <w:bookmarkEnd w:id="1796"/>
      <w:bookmarkEnd w:id="1797"/>
      <w:bookmarkEnd w:id="1798"/>
      <w:bookmarkEnd w:id="1799"/>
    </w:p>
    <w:p w14:paraId="34FB015E">
      <w:pPr>
        <w:spacing w:line="360" w:lineRule="auto"/>
        <w:rPr>
          <w:rFonts w:eastAsia="楷体_GB2312"/>
          <w:color w:val="000000"/>
          <w:sz w:val="24"/>
        </w:rPr>
      </w:pPr>
    </w:p>
    <w:p w14:paraId="1C703E87">
      <w:pPr>
        <w:spacing w:line="360" w:lineRule="auto"/>
        <w:jc w:val="center"/>
        <w:rPr>
          <w:rFonts w:eastAsia="楷体_GB2312"/>
          <w:color w:val="000000"/>
          <w:sz w:val="28"/>
          <w:szCs w:val="28"/>
        </w:rPr>
      </w:pPr>
      <w:r>
        <w:rPr>
          <w:rFonts w:eastAsia="楷体_GB2312"/>
          <w:b/>
          <w:color w:val="000000"/>
          <w:sz w:val="28"/>
          <w:szCs w:val="28"/>
        </w:rPr>
        <w:t>清仓回购要约通知书</w:t>
      </w:r>
    </w:p>
    <w:p w14:paraId="191B908B">
      <w:pPr>
        <w:spacing w:line="360" w:lineRule="auto"/>
        <w:rPr>
          <w:rFonts w:eastAsia="楷体_GB2312"/>
          <w:color w:val="000000"/>
          <w:sz w:val="24"/>
        </w:rPr>
      </w:pPr>
    </w:p>
    <w:p w14:paraId="5184F39F">
      <w:pPr>
        <w:spacing w:line="360" w:lineRule="auto"/>
        <w:rPr>
          <w:rFonts w:eastAsia="楷体_GB2312"/>
          <w:color w:val="000000"/>
          <w:sz w:val="24"/>
        </w:rPr>
      </w:pPr>
      <w:r>
        <w:rPr>
          <w:rFonts w:eastAsia="楷体_GB2312"/>
          <w:color w:val="000000"/>
          <w:sz w:val="24"/>
        </w:rPr>
        <w:t>致：</w:t>
      </w:r>
      <w:r>
        <w:rPr>
          <w:rFonts w:eastAsia="楷体_GB2312"/>
          <w:color w:val="000000"/>
          <w:sz w:val="24"/>
        </w:rPr>
        <w:tab/>
      </w:r>
      <w:r>
        <w:rPr>
          <w:rFonts w:eastAsia="楷体_GB2312"/>
          <w:color w:val="000000"/>
          <w:sz w:val="24"/>
        </w:rPr>
        <w:t>【发起机构全称】（“委托人”）</w:t>
      </w:r>
    </w:p>
    <w:p w14:paraId="7482ED68">
      <w:pPr>
        <w:spacing w:line="360" w:lineRule="auto"/>
        <w:rPr>
          <w:rFonts w:eastAsia="楷体_GB2312"/>
          <w:color w:val="000000"/>
          <w:sz w:val="24"/>
        </w:rPr>
      </w:pPr>
      <w:r>
        <w:rPr>
          <w:rFonts w:eastAsia="楷体_GB2312"/>
          <w:color w:val="000000"/>
          <w:sz w:val="24"/>
        </w:rPr>
        <w:t>日期：_______________</w:t>
      </w:r>
    </w:p>
    <w:p w14:paraId="5DDA9608">
      <w:pPr>
        <w:spacing w:line="360" w:lineRule="auto"/>
        <w:rPr>
          <w:rFonts w:eastAsia="楷体_GB2312"/>
          <w:color w:val="000000"/>
          <w:sz w:val="24"/>
        </w:rPr>
      </w:pPr>
    </w:p>
    <w:p w14:paraId="25BA9670">
      <w:pPr>
        <w:spacing w:line="360" w:lineRule="auto"/>
        <w:ind w:left="-58" w:firstLine="480" w:firstLineChars="200"/>
        <w:rPr>
          <w:rFonts w:eastAsia="楷体_GB2312"/>
          <w:color w:val="000000"/>
          <w:sz w:val="24"/>
        </w:rPr>
      </w:pPr>
      <w:r>
        <w:rPr>
          <w:rFonts w:eastAsia="楷体_GB2312"/>
          <w:color w:val="000000"/>
          <w:sz w:val="24"/>
        </w:rPr>
        <w:t>根据【发起机构全称】（“【发起机构简称】”）与【受托机构全称】（“【受托机构简称】”）于【】年【】月【】日签署的编号为【信托合同编号】的《【信托名称】</w:t>
      </w:r>
      <w:r>
        <w:rPr>
          <w:rFonts w:hint="eastAsia" w:eastAsia="楷体_GB2312"/>
          <w:color w:val="000000"/>
          <w:sz w:val="24"/>
        </w:rPr>
        <w:t>之</w:t>
      </w:r>
      <w:r>
        <w:rPr>
          <w:rFonts w:eastAsia="楷体_GB2312"/>
          <w:color w:val="000000"/>
          <w:sz w:val="24"/>
        </w:rPr>
        <w:t>信托合同》（“《信托合同》”）的约定，本公司（作为“受托人”）向贵行（作为“委托人”）通知如下：</w:t>
      </w:r>
    </w:p>
    <w:p w14:paraId="0229FEE3">
      <w:pPr>
        <w:numPr>
          <w:ilvl w:val="0"/>
          <w:numId w:val="45"/>
        </w:numPr>
        <w:spacing w:line="360" w:lineRule="auto"/>
        <w:rPr>
          <w:rFonts w:eastAsia="楷体_GB2312"/>
          <w:color w:val="000000"/>
          <w:sz w:val="24"/>
        </w:rPr>
      </w:pPr>
      <w:r>
        <w:rPr>
          <w:rFonts w:eastAsia="楷体_GB2312"/>
          <w:color w:val="000000"/>
          <w:sz w:val="24"/>
        </w:rPr>
        <w:t>本公司已收到于【</w:t>
      </w:r>
      <w:r>
        <w:rPr>
          <w:rFonts w:eastAsia="楷体_GB2312"/>
          <w:i/>
          <w:color w:val="000000"/>
          <w:sz w:val="24"/>
        </w:rPr>
        <w:t>填入日期</w:t>
      </w:r>
      <w:r>
        <w:rPr>
          <w:rFonts w:eastAsia="楷体_GB2312"/>
          <w:color w:val="000000"/>
          <w:sz w:val="24"/>
        </w:rPr>
        <w:t>】发出的清仓回购通知书（见本通知附件）；</w:t>
      </w:r>
    </w:p>
    <w:p w14:paraId="202406C9">
      <w:pPr>
        <w:numPr>
          <w:ilvl w:val="0"/>
          <w:numId w:val="45"/>
        </w:numPr>
        <w:spacing w:line="360" w:lineRule="auto"/>
        <w:rPr>
          <w:rFonts w:eastAsia="楷体_GB2312"/>
          <w:color w:val="000000"/>
          <w:sz w:val="24"/>
        </w:rPr>
      </w:pPr>
      <w:r>
        <w:rPr>
          <w:rFonts w:eastAsia="楷体_GB2312"/>
          <w:color w:val="000000"/>
          <w:sz w:val="24"/>
        </w:rPr>
        <w:t>“清仓回购价格”为【】元；</w:t>
      </w:r>
    </w:p>
    <w:p w14:paraId="212508F7">
      <w:pPr>
        <w:numPr>
          <w:ilvl w:val="0"/>
          <w:numId w:val="45"/>
        </w:numPr>
        <w:spacing w:line="360" w:lineRule="auto"/>
        <w:rPr>
          <w:rFonts w:eastAsia="楷体_GB2312"/>
          <w:color w:val="000000"/>
          <w:sz w:val="24"/>
        </w:rPr>
      </w:pPr>
      <w:r>
        <w:rPr>
          <w:rFonts w:eastAsia="楷体_GB2312"/>
          <w:color w:val="000000"/>
          <w:sz w:val="24"/>
        </w:rPr>
        <w:t>在承诺后，本公司将自“回购起算日”【</w:t>
      </w:r>
      <w:r>
        <w:rPr>
          <w:rFonts w:eastAsia="楷体_GB2312"/>
          <w:i/>
          <w:iCs/>
          <w:color w:val="000000"/>
          <w:sz w:val="24"/>
        </w:rPr>
        <w:t>具体时点</w:t>
      </w:r>
      <w:r>
        <w:rPr>
          <w:rFonts w:eastAsia="楷体_GB2312"/>
          <w:color w:val="000000"/>
          <w:sz w:val="24"/>
        </w:rPr>
        <w:t>】起“信托”项下全部剩余“资产池”出售给贵行，贵行应不晚于【】年【】月【】日将相当于“清仓回购价格”【在扣除根据“《信托合同》”第</w:t>
      </w:r>
      <w:r>
        <w:rPr>
          <w:rFonts w:eastAsia="楷体_GB2312"/>
          <w:color w:val="000000"/>
          <w:sz w:val="24"/>
        </w:rPr>
        <w:fldChar w:fldCharType="begin"/>
      </w:r>
      <w:r>
        <w:rPr>
          <w:rFonts w:eastAsia="楷体_GB2312"/>
          <w:color w:val="000000"/>
          <w:sz w:val="24"/>
        </w:rPr>
        <w:instrText xml:space="preserve"> REF _Ref342416683 \r \h  \* MERGEFORMAT </w:instrText>
      </w:r>
      <w:r>
        <w:rPr>
          <w:rFonts w:eastAsia="楷体_GB2312"/>
          <w:color w:val="000000"/>
          <w:sz w:val="24"/>
        </w:rPr>
        <w:fldChar w:fldCharType="separate"/>
      </w:r>
      <w:r>
        <w:rPr>
          <w:rFonts w:eastAsia="楷体_GB2312"/>
          <w:color w:val="000000"/>
          <w:sz w:val="24"/>
        </w:rPr>
        <w:t>13.6</w:t>
      </w:r>
      <w:r>
        <w:rPr>
          <w:rFonts w:eastAsia="楷体_GB2312"/>
          <w:color w:val="000000"/>
          <w:sz w:val="24"/>
        </w:rPr>
        <w:fldChar w:fldCharType="end"/>
      </w:r>
      <w:r>
        <w:rPr>
          <w:rFonts w:eastAsia="楷体_GB2312"/>
          <w:color w:val="000000"/>
          <w:sz w:val="24"/>
        </w:rPr>
        <w:t>款可扣除的款项后】的资金，一次性支付至如下“信托账户”，户名：【】，开户行：【】，账号：【】；如“清仓回购价格”为零，则本公司收到贵行发送的清仓回购承诺通知书之日视为贵行支付完毕相当于“清仓回购价格”的资金之日。</w:t>
      </w:r>
    </w:p>
    <w:p w14:paraId="24D5C233">
      <w:pPr>
        <w:numPr>
          <w:ilvl w:val="0"/>
          <w:numId w:val="45"/>
        </w:numPr>
        <w:spacing w:line="360" w:lineRule="auto"/>
        <w:rPr>
          <w:rFonts w:eastAsia="楷体_GB2312"/>
          <w:color w:val="000000"/>
          <w:sz w:val="24"/>
        </w:rPr>
      </w:pPr>
      <w:r>
        <w:rPr>
          <w:rFonts w:eastAsia="楷体_GB2312"/>
          <w:color w:val="000000"/>
          <w:sz w:val="24"/>
        </w:rPr>
        <w:t>本次“清仓回购”的“回购起算日”系指【】年【】月【】日；</w:t>
      </w:r>
    </w:p>
    <w:p w14:paraId="3787E988">
      <w:pPr>
        <w:numPr>
          <w:ilvl w:val="0"/>
          <w:numId w:val="45"/>
        </w:numPr>
        <w:spacing w:line="360" w:lineRule="auto"/>
        <w:rPr>
          <w:rFonts w:eastAsia="楷体_GB2312"/>
          <w:color w:val="000000"/>
          <w:sz w:val="24"/>
        </w:rPr>
      </w:pPr>
      <w:r>
        <w:rPr>
          <w:rFonts w:eastAsia="楷体_GB2312"/>
          <w:color w:val="000000"/>
          <w:sz w:val="24"/>
        </w:rPr>
        <w:t>如欲接受本要约，应于收到本要约后【】个“工作日”内将承诺通知发送给本公司。</w:t>
      </w:r>
    </w:p>
    <w:p w14:paraId="7416D96D">
      <w:pPr>
        <w:spacing w:line="360" w:lineRule="auto"/>
        <w:ind w:left="-58" w:firstLine="480" w:firstLineChars="200"/>
        <w:rPr>
          <w:rFonts w:eastAsia="楷体_GB2312"/>
          <w:color w:val="000000"/>
          <w:sz w:val="24"/>
        </w:rPr>
      </w:pPr>
      <w:r>
        <w:rPr>
          <w:rFonts w:eastAsia="楷体_GB2312"/>
          <w:color w:val="000000"/>
          <w:sz w:val="24"/>
        </w:rPr>
        <w:t>若无相反定义，本通知使用的词语和表述与《【信托名称】主定义表》、“《信托合同》”中的相同词语和表述具有相同含义。</w:t>
      </w:r>
    </w:p>
    <w:p w14:paraId="2BA00E54">
      <w:pPr>
        <w:spacing w:line="360" w:lineRule="auto"/>
        <w:ind w:right="480"/>
        <w:jc w:val="right"/>
        <w:rPr>
          <w:rFonts w:eastAsia="楷体_GB2312"/>
          <w:color w:val="000000"/>
          <w:sz w:val="24"/>
        </w:rPr>
      </w:pPr>
      <w:r>
        <w:rPr>
          <w:rFonts w:eastAsia="楷体_GB2312"/>
          <w:color w:val="000000"/>
          <w:sz w:val="24"/>
        </w:rPr>
        <w:t>【受托机构全称】</w:t>
      </w:r>
    </w:p>
    <w:p w14:paraId="36527D5D">
      <w:pPr>
        <w:spacing w:line="360" w:lineRule="auto"/>
        <w:ind w:leftChars="-112" w:right="480" w:hanging="235" w:hangingChars="98"/>
        <w:jc w:val="right"/>
        <w:rPr>
          <w:rFonts w:eastAsia="楷体_GB2312"/>
          <w:color w:val="000000"/>
          <w:sz w:val="24"/>
        </w:rPr>
      </w:pPr>
      <w:r>
        <w:rPr>
          <w:rFonts w:eastAsia="楷体_GB2312"/>
          <w:color w:val="000000"/>
          <w:sz w:val="24"/>
        </w:rPr>
        <w:t>法定代表人或授权代理人：</w:t>
      </w:r>
    </w:p>
    <w:p w14:paraId="15A03241">
      <w:pPr>
        <w:spacing w:line="360" w:lineRule="auto"/>
        <w:jc w:val="right"/>
        <w:rPr>
          <w:rFonts w:eastAsia="楷体_GB2312"/>
          <w:color w:val="000000"/>
          <w:sz w:val="24"/>
        </w:rPr>
      </w:pPr>
      <w:r>
        <w:rPr>
          <w:rFonts w:eastAsia="楷体_GB2312"/>
          <w:color w:val="000000"/>
          <w:sz w:val="24"/>
        </w:rPr>
        <w:t>【】年【】月【】日</w:t>
      </w:r>
    </w:p>
    <w:p w14:paraId="3DB49672">
      <w:pPr>
        <w:spacing w:line="360" w:lineRule="auto"/>
        <w:rPr>
          <w:rFonts w:eastAsia="楷体_GB2312"/>
          <w:color w:val="000000"/>
          <w:sz w:val="24"/>
        </w:rPr>
      </w:pPr>
    </w:p>
    <w:p w14:paraId="53FC5B0B">
      <w:pPr>
        <w:spacing w:line="360" w:lineRule="auto"/>
        <w:rPr>
          <w:rFonts w:eastAsia="楷体_GB2312"/>
          <w:b/>
          <w:color w:val="000000"/>
          <w:sz w:val="24"/>
        </w:rPr>
      </w:pPr>
      <w:r>
        <w:rPr>
          <w:rFonts w:eastAsia="楷体_GB2312"/>
          <w:b/>
          <w:color w:val="000000"/>
          <w:sz w:val="24"/>
        </w:rPr>
        <w:t>附：清仓回购通知书</w:t>
      </w:r>
    </w:p>
    <w:p w14:paraId="133DA7B7">
      <w:pPr>
        <w:spacing w:line="360" w:lineRule="auto"/>
        <w:outlineLvl w:val="0"/>
        <w:rPr>
          <w:rFonts w:eastAsia="楷体_GB2312"/>
          <w:b/>
          <w:color w:val="000000"/>
          <w:sz w:val="24"/>
        </w:rPr>
      </w:pPr>
      <w:r>
        <w:rPr>
          <w:rFonts w:eastAsia="楷体_GB2312"/>
          <w:b/>
          <w:color w:val="000000"/>
          <w:sz w:val="24"/>
        </w:rPr>
        <w:br w:type="page"/>
      </w:r>
      <w:bookmarkStart w:id="1800" w:name="_Toc225538187"/>
      <w:bookmarkStart w:id="1801" w:name="_Toc203893113"/>
      <w:bookmarkStart w:id="1802" w:name="_Toc202174953"/>
      <w:bookmarkStart w:id="1803" w:name="_Toc335998749"/>
      <w:bookmarkStart w:id="1804" w:name="_Toc17827979"/>
      <w:bookmarkStart w:id="1805" w:name="_Toc219710706"/>
      <w:r>
        <w:rPr>
          <w:rFonts w:eastAsia="楷体_GB2312"/>
          <w:b/>
          <w:color w:val="000000"/>
          <w:sz w:val="24"/>
        </w:rPr>
        <w:t>附件八：清仓回购承诺通知书格式</w:t>
      </w:r>
      <w:bookmarkEnd w:id="1800"/>
      <w:bookmarkEnd w:id="1801"/>
      <w:bookmarkEnd w:id="1802"/>
      <w:bookmarkEnd w:id="1803"/>
      <w:bookmarkEnd w:id="1804"/>
      <w:bookmarkEnd w:id="1805"/>
    </w:p>
    <w:p w14:paraId="3F57CE7A">
      <w:pPr>
        <w:spacing w:line="360" w:lineRule="auto"/>
        <w:rPr>
          <w:rFonts w:eastAsia="楷体_GB2312"/>
          <w:b/>
          <w:color w:val="000000"/>
          <w:sz w:val="24"/>
        </w:rPr>
      </w:pPr>
    </w:p>
    <w:p w14:paraId="26990499">
      <w:pPr>
        <w:spacing w:line="360" w:lineRule="auto"/>
        <w:jc w:val="center"/>
        <w:rPr>
          <w:rFonts w:eastAsia="楷体_GB2312"/>
          <w:color w:val="000000"/>
          <w:sz w:val="28"/>
          <w:szCs w:val="28"/>
        </w:rPr>
      </w:pPr>
      <w:r>
        <w:rPr>
          <w:rFonts w:eastAsia="楷体_GB2312"/>
          <w:b/>
          <w:color w:val="000000"/>
          <w:sz w:val="28"/>
          <w:szCs w:val="28"/>
        </w:rPr>
        <w:t>清仓回购承诺通知书</w:t>
      </w:r>
    </w:p>
    <w:p w14:paraId="57523919">
      <w:pPr>
        <w:spacing w:line="360" w:lineRule="auto"/>
        <w:rPr>
          <w:rFonts w:eastAsia="楷体_GB2312"/>
          <w:color w:val="000000"/>
          <w:sz w:val="24"/>
        </w:rPr>
      </w:pPr>
    </w:p>
    <w:p w14:paraId="086553EB">
      <w:pPr>
        <w:spacing w:line="360" w:lineRule="auto"/>
        <w:rPr>
          <w:rFonts w:eastAsia="楷体_GB2312"/>
          <w:color w:val="000000"/>
          <w:sz w:val="24"/>
        </w:rPr>
      </w:pPr>
      <w:r>
        <w:rPr>
          <w:rFonts w:eastAsia="楷体_GB2312"/>
          <w:color w:val="000000"/>
          <w:sz w:val="24"/>
        </w:rPr>
        <w:t>致：</w:t>
      </w:r>
      <w:r>
        <w:rPr>
          <w:rFonts w:eastAsia="楷体_GB2312"/>
          <w:color w:val="000000"/>
          <w:sz w:val="24"/>
        </w:rPr>
        <w:tab/>
      </w:r>
      <w:r>
        <w:rPr>
          <w:rFonts w:eastAsia="楷体_GB2312"/>
          <w:color w:val="000000"/>
          <w:sz w:val="24"/>
        </w:rPr>
        <w:t>【受托机构全称】（“受托人”）</w:t>
      </w:r>
    </w:p>
    <w:p w14:paraId="32511E10">
      <w:pPr>
        <w:spacing w:line="360" w:lineRule="auto"/>
        <w:rPr>
          <w:rFonts w:eastAsia="楷体_GB2312"/>
          <w:color w:val="000000"/>
          <w:sz w:val="24"/>
        </w:rPr>
      </w:pPr>
      <w:r>
        <w:rPr>
          <w:rFonts w:eastAsia="楷体_GB2312"/>
          <w:color w:val="000000"/>
          <w:sz w:val="24"/>
        </w:rPr>
        <w:t>日期：_______________</w:t>
      </w:r>
    </w:p>
    <w:p w14:paraId="6CFB0E6C">
      <w:pPr>
        <w:spacing w:line="360" w:lineRule="auto"/>
        <w:rPr>
          <w:rFonts w:eastAsia="楷体_GB2312"/>
          <w:color w:val="000000"/>
          <w:sz w:val="24"/>
        </w:rPr>
      </w:pPr>
    </w:p>
    <w:p w14:paraId="7665316E">
      <w:pPr>
        <w:spacing w:line="360" w:lineRule="auto"/>
        <w:ind w:left="-58" w:firstLine="480" w:firstLineChars="200"/>
        <w:rPr>
          <w:rFonts w:eastAsia="楷体_GB2312"/>
          <w:color w:val="000000"/>
          <w:sz w:val="24"/>
        </w:rPr>
      </w:pPr>
      <w:r>
        <w:rPr>
          <w:rFonts w:eastAsia="楷体_GB2312"/>
          <w:color w:val="000000"/>
          <w:sz w:val="24"/>
        </w:rPr>
        <w:t>根据【发起机构全称】（“【发起机构简称】”）与【受托机构全称】（“【受托机构简称】”）于【】年【】月【】日签署的编号为【信托合同编号】的《【信托名称】</w:t>
      </w:r>
      <w:r>
        <w:rPr>
          <w:rFonts w:hint="eastAsia" w:eastAsia="楷体_GB2312"/>
          <w:color w:val="000000"/>
          <w:sz w:val="24"/>
        </w:rPr>
        <w:t>之</w:t>
      </w:r>
      <w:r>
        <w:rPr>
          <w:rFonts w:eastAsia="楷体_GB2312"/>
          <w:color w:val="000000"/>
          <w:sz w:val="24"/>
        </w:rPr>
        <w:t>信托合同》（“《信托合同》”）的约定，本公司（作为“委托人”）向（作为“受托人”）通知如下：</w:t>
      </w:r>
    </w:p>
    <w:p w14:paraId="23262DE4">
      <w:pPr>
        <w:numPr>
          <w:ilvl w:val="0"/>
          <w:numId w:val="46"/>
        </w:numPr>
        <w:spacing w:line="360" w:lineRule="auto"/>
        <w:rPr>
          <w:rFonts w:eastAsia="楷体_GB2312"/>
          <w:color w:val="000000"/>
          <w:sz w:val="24"/>
        </w:rPr>
      </w:pPr>
      <w:r>
        <w:rPr>
          <w:rFonts w:eastAsia="楷体_GB2312"/>
          <w:color w:val="000000"/>
          <w:sz w:val="24"/>
        </w:rPr>
        <w:t>本行已收到贵公司于【</w:t>
      </w:r>
      <w:r>
        <w:rPr>
          <w:rFonts w:eastAsia="楷体_GB2312"/>
          <w:i/>
          <w:color w:val="000000"/>
          <w:sz w:val="24"/>
        </w:rPr>
        <w:t>填入日期</w:t>
      </w:r>
      <w:r>
        <w:rPr>
          <w:rFonts w:eastAsia="楷体_GB2312"/>
          <w:color w:val="000000"/>
          <w:sz w:val="24"/>
        </w:rPr>
        <w:t>】发出的《清仓回购要约通知书》（见本通知附件），且本行同意接受该要约。</w:t>
      </w:r>
    </w:p>
    <w:p w14:paraId="0ABB5115">
      <w:pPr>
        <w:numPr>
          <w:ilvl w:val="0"/>
          <w:numId w:val="46"/>
        </w:numPr>
        <w:spacing w:line="360" w:lineRule="auto"/>
        <w:rPr>
          <w:rFonts w:eastAsia="楷体_GB2312"/>
          <w:color w:val="000000"/>
          <w:sz w:val="24"/>
        </w:rPr>
      </w:pPr>
      <w:r>
        <w:rPr>
          <w:rFonts w:eastAsia="楷体_GB2312"/>
          <w:color w:val="000000"/>
          <w:sz w:val="24"/>
        </w:rPr>
        <w:t>本通知为不可撤销的承诺通知。</w:t>
      </w:r>
    </w:p>
    <w:p w14:paraId="4F225085">
      <w:pPr>
        <w:spacing w:line="360" w:lineRule="auto"/>
        <w:ind w:left="-58" w:firstLine="480" w:firstLineChars="200"/>
        <w:rPr>
          <w:rFonts w:eastAsia="楷体_GB2312"/>
          <w:color w:val="000000"/>
          <w:sz w:val="24"/>
        </w:rPr>
      </w:pPr>
      <w:r>
        <w:rPr>
          <w:rFonts w:eastAsia="楷体_GB2312"/>
          <w:color w:val="000000"/>
          <w:sz w:val="24"/>
        </w:rPr>
        <w:t>若无相反定义，本通知使用的词语和表述与《【信托名称】主定义表》、“《信托合同》”中的相同词语和表述具有相同含义。</w:t>
      </w:r>
    </w:p>
    <w:p w14:paraId="7277D980">
      <w:pPr>
        <w:spacing w:line="360" w:lineRule="auto"/>
        <w:ind w:left="-60"/>
        <w:rPr>
          <w:rFonts w:eastAsia="楷体_GB2312"/>
          <w:color w:val="000000"/>
          <w:sz w:val="24"/>
        </w:rPr>
      </w:pPr>
    </w:p>
    <w:p w14:paraId="7AE005DF">
      <w:pPr>
        <w:spacing w:line="360" w:lineRule="auto"/>
        <w:rPr>
          <w:rFonts w:eastAsia="楷体_GB2312"/>
          <w:b/>
          <w:color w:val="000000"/>
          <w:sz w:val="28"/>
          <w:szCs w:val="28"/>
        </w:rPr>
      </w:pPr>
    </w:p>
    <w:p w14:paraId="7F4E3E4F">
      <w:pPr>
        <w:spacing w:line="360" w:lineRule="auto"/>
        <w:ind w:left="3780" w:right="480"/>
        <w:jc w:val="center"/>
        <w:rPr>
          <w:rFonts w:eastAsia="楷体_GB2312"/>
          <w:color w:val="000000"/>
          <w:sz w:val="24"/>
        </w:rPr>
      </w:pPr>
      <w:r>
        <w:rPr>
          <w:rFonts w:eastAsia="楷体_GB2312"/>
          <w:color w:val="000000"/>
          <w:sz w:val="24"/>
        </w:rPr>
        <w:t>【发起机构全称】</w:t>
      </w:r>
    </w:p>
    <w:p w14:paraId="77B9581A">
      <w:pPr>
        <w:spacing w:line="360" w:lineRule="auto"/>
        <w:ind w:left="-2" w:leftChars="-450" w:right="480" w:hanging="943" w:hangingChars="393"/>
        <w:jc w:val="right"/>
        <w:rPr>
          <w:rFonts w:eastAsia="楷体_GB2312"/>
          <w:color w:val="000000"/>
          <w:sz w:val="24"/>
        </w:rPr>
      </w:pPr>
      <w:r>
        <w:rPr>
          <w:rFonts w:eastAsia="楷体_GB2312"/>
          <w:color w:val="000000"/>
          <w:sz w:val="24"/>
        </w:rPr>
        <w:t>法定代表人或授权代理人：</w:t>
      </w:r>
    </w:p>
    <w:p w14:paraId="1C75E3F2">
      <w:pPr>
        <w:spacing w:line="360" w:lineRule="auto"/>
        <w:ind w:left="3780" w:right="480"/>
        <w:jc w:val="center"/>
        <w:rPr>
          <w:rFonts w:eastAsia="楷体_GB2312"/>
          <w:color w:val="000000"/>
        </w:rPr>
      </w:pPr>
      <w:r>
        <w:rPr>
          <w:rFonts w:eastAsia="楷体_GB2312"/>
          <w:color w:val="000000"/>
          <w:sz w:val="24"/>
        </w:rPr>
        <w:t>【  】年【  】月【  】日</w:t>
      </w:r>
    </w:p>
    <w:p w14:paraId="71B6702F">
      <w:pPr>
        <w:spacing w:line="360" w:lineRule="auto"/>
        <w:rPr>
          <w:rFonts w:eastAsia="楷体_GB2312"/>
          <w:color w:val="000000"/>
          <w:sz w:val="24"/>
        </w:rPr>
      </w:pPr>
    </w:p>
    <w:p w14:paraId="7EFAC0E5">
      <w:pPr>
        <w:spacing w:line="360" w:lineRule="auto"/>
        <w:rPr>
          <w:rFonts w:eastAsia="楷体_GB2312"/>
          <w:color w:val="000000"/>
          <w:sz w:val="24"/>
        </w:rPr>
      </w:pPr>
      <w:r>
        <w:rPr>
          <w:rFonts w:eastAsia="楷体_GB2312"/>
          <w:b/>
          <w:color w:val="000000"/>
          <w:sz w:val="24"/>
        </w:rPr>
        <w:t>附：清仓回购要约通知书</w:t>
      </w:r>
    </w:p>
    <w:p w14:paraId="74C6FAEA">
      <w:pPr>
        <w:spacing w:line="360" w:lineRule="auto"/>
        <w:outlineLvl w:val="0"/>
        <w:rPr>
          <w:rFonts w:eastAsia="楷体_GB2312"/>
          <w:b/>
          <w:color w:val="000000"/>
          <w:sz w:val="24"/>
        </w:rPr>
      </w:pPr>
      <w:r>
        <w:rPr>
          <w:rFonts w:eastAsia="楷体_GB2312"/>
          <w:color w:val="000000"/>
          <w:sz w:val="24"/>
        </w:rPr>
        <w:br w:type="page"/>
      </w:r>
      <w:bookmarkStart w:id="1806" w:name="_Toc335998750"/>
    </w:p>
    <w:bookmarkEnd w:id="1806"/>
    <w:p w14:paraId="1094C83D">
      <w:pPr>
        <w:spacing w:line="360" w:lineRule="auto"/>
        <w:outlineLvl w:val="0"/>
        <w:rPr>
          <w:rFonts w:eastAsia="楷体_GB2312"/>
          <w:b/>
          <w:color w:val="000000"/>
          <w:sz w:val="24"/>
        </w:rPr>
      </w:pPr>
      <w:bookmarkStart w:id="1807" w:name="_Toc219710707"/>
      <w:bookmarkStart w:id="1808" w:name="_Toc225538188"/>
      <w:r>
        <w:rPr>
          <w:rFonts w:eastAsia="楷体_GB2312"/>
          <w:b/>
          <w:color w:val="000000"/>
          <w:sz w:val="24"/>
        </w:rPr>
        <w:t>附件九：信托会计处理的原则和方式</w:t>
      </w:r>
      <w:bookmarkEnd w:id="1792"/>
      <w:bookmarkEnd w:id="1793"/>
      <w:bookmarkEnd w:id="1807"/>
      <w:bookmarkEnd w:id="1808"/>
    </w:p>
    <w:p w14:paraId="36D28EEC">
      <w:pPr>
        <w:spacing w:line="360" w:lineRule="auto"/>
        <w:rPr>
          <w:rFonts w:eastAsia="楷体_GB2312"/>
          <w:color w:val="000000"/>
          <w:sz w:val="24"/>
        </w:rPr>
      </w:pPr>
    </w:p>
    <w:p w14:paraId="46C1C781">
      <w:pPr>
        <w:spacing w:before="156" w:beforeLines="50" w:after="156" w:afterLines="50" w:line="360" w:lineRule="auto"/>
        <w:ind w:firstLine="504"/>
        <w:jc w:val="center"/>
        <w:rPr>
          <w:rFonts w:eastAsia="楷体_GB2312"/>
          <w:b/>
          <w:color w:val="000000"/>
          <w:sz w:val="28"/>
          <w:szCs w:val="28"/>
        </w:rPr>
      </w:pPr>
      <w:r>
        <w:rPr>
          <w:rFonts w:eastAsia="楷体_GB2312"/>
          <w:b/>
          <w:color w:val="000000"/>
          <w:sz w:val="28"/>
          <w:szCs w:val="28"/>
        </w:rPr>
        <w:t>信托会计处理的原则和方式</w:t>
      </w:r>
    </w:p>
    <w:p w14:paraId="130F7C8D">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信托涉及的各交易主体（包括受托人、贷款服务机构和资金保管机构等）应根据本身所负责的事务，采用适当的形式为信托单独记账、单独核算、单独编制财务会计报告。</w:t>
      </w:r>
    </w:p>
    <w:p w14:paraId="5429FB26">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信托涉及的各交易主体应根据中国人民银行公告〔2005〕第14号《资产支持证券信息披露规则》及中国银行间市场交易商协会相关自律规则，并参照中华人民共和国财政部颁布的《企业会计准则——基本准则》、企业会计准则应用指南、企业会计准则解释以及其他相关规定进行会计处理，分工完成整个信托过程的会计处理。</w:t>
      </w:r>
    </w:p>
    <w:p w14:paraId="6994B70C">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受托人根据中国人民银行公告〔2005〕第14号《资产支持证券信息披露规则》及中国银行间市场交易商协会相关自律规则，并参照中华人民共和国财政部颁布的《企业会计准则——基本准则》、企业会计准则应用指南、企业会计准则解释以及其他相关规定为信托建立一套完整的核算体系，对资产池的管理进行总账核算。</w:t>
      </w:r>
    </w:p>
    <w:p w14:paraId="093F23D3">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受托人对资产池进行会计核算的直接依据是贷款服务机构报告、贷款服务机构会计信息等统计报告，不同于一般意义上依据原始凭证进行的会计核算。受托人对上述信托财产不进行逐笔的、明细的会计核算。</w:t>
      </w:r>
    </w:p>
    <w:p w14:paraId="564E0EAC">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贷款服务机构负责资产池的逐笔明细核算。贷款服务机构应按一般标准管理、核算信托的资产池，包括有关管理方法、违约贷款处置程序及方法和账务处理方法。</w:t>
      </w:r>
    </w:p>
    <w:p w14:paraId="0B95BF18">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受托人将贷款服务机构报告和贷款服务机构会计信息作为会计处理依据。贷款服务机构应保证在同一报告期内，贷款服务机构报告和贷款服务机构会计信息的有关内容和其会计账面数字一致。</w:t>
      </w:r>
    </w:p>
    <w:p w14:paraId="0AD0B0B2">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受托人依据贷款服务机构报告、资金保管报告负责计算信托发生的费用、应付各服务机构报酬和应付资产支持证券持有人的本息，并向资金保管机构发出付款指令。受托人依据贷款服务机构报告、资金保管报告计提当月应付的各项费用以及资产支持证券持有人收益。受托人根据相关的贷款服务机构报告、资金保管报告核算前一个期计提的各项费用及支付的资产支持证券持有人收益。</w:t>
      </w:r>
    </w:p>
    <w:p w14:paraId="03176041">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因管理资产等产生的会计凭证保存在贷款服务机构处；各项信托费用的结算单据、发票等原始凭证保存在受托人处。上述机构应按财政部会计档案管理有关规定保存上述会计档案。</w:t>
      </w:r>
    </w:p>
    <w:p w14:paraId="32D44AF2">
      <w:pPr>
        <w:widowControl/>
        <w:numPr>
          <w:ilvl w:val="0"/>
          <w:numId w:val="47"/>
        </w:numPr>
        <w:spacing w:before="156" w:beforeLines="50" w:after="156" w:afterLines="50" w:line="360" w:lineRule="auto"/>
        <w:rPr>
          <w:rFonts w:eastAsia="楷体_GB2312"/>
          <w:color w:val="000000"/>
          <w:kern w:val="0"/>
          <w:sz w:val="24"/>
          <w:lang w:val="en-GB"/>
        </w:rPr>
      </w:pPr>
      <w:r>
        <w:rPr>
          <w:rFonts w:eastAsia="楷体_GB2312"/>
          <w:color w:val="000000"/>
          <w:kern w:val="0"/>
          <w:sz w:val="24"/>
          <w:lang w:val="en-GB"/>
        </w:rPr>
        <w:t>信托清算完毕后受托人出具信托清算报告。</w:t>
      </w:r>
      <w:r>
        <w:rPr>
          <w:rFonts w:eastAsia="楷体_GB2312"/>
          <w:color w:val="000000"/>
          <w:kern w:val="0"/>
          <w:sz w:val="24"/>
          <w:szCs w:val="20"/>
          <w:lang w:val="en-GB"/>
        </w:rPr>
        <w:t>信托清算报告公告期满，</w:t>
      </w:r>
      <w:r>
        <w:rPr>
          <w:rFonts w:eastAsia="楷体_GB2312"/>
          <w:color w:val="000000"/>
          <w:sz w:val="24"/>
        </w:rPr>
        <w:t>信托终止日时资产支持证券未兑付完毕的</w:t>
      </w:r>
      <w:r>
        <w:rPr>
          <w:rFonts w:eastAsia="楷体_GB2312"/>
          <w:color w:val="000000"/>
          <w:kern w:val="0"/>
          <w:sz w:val="24"/>
          <w:szCs w:val="20"/>
          <w:lang w:val="en-GB"/>
        </w:rPr>
        <w:t>资产支持证券持有人未提出异议的</w:t>
      </w:r>
      <w:r>
        <w:rPr>
          <w:rFonts w:eastAsia="楷体_GB2312"/>
          <w:color w:val="000000"/>
          <w:kern w:val="0"/>
          <w:sz w:val="24"/>
          <w:lang w:val="en-GB"/>
        </w:rPr>
        <w:t>，信托涉及的各交易主体进行各自账目结转、封存。</w:t>
      </w:r>
    </w:p>
    <w:p w14:paraId="154BFBA3">
      <w:pPr>
        <w:spacing w:line="360" w:lineRule="auto"/>
        <w:outlineLvl w:val="0"/>
        <w:rPr>
          <w:rFonts w:eastAsia="楷体_GB2312"/>
          <w:b/>
          <w:color w:val="000000"/>
          <w:sz w:val="24"/>
        </w:rPr>
      </w:pPr>
      <w:r>
        <w:rPr>
          <w:rFonts w:eastAsia="楷体_GB2312"/>
          <w:color w:val="000000"/>
          <w:sz w:val="24"/>
        </w:rPr>
        <w:br w:type="page"/>
      </w:r>
      <w:bookmarkStart w:id="1809" w:name="_Toc219710708"/>
      <w:bookmarkStart w:id="1810" w:name="_Toc418802628"/>
      <w:bookmarkStart w:id="1811" w:name="_Toc225538189"/>
      <w:bookmarkStart w:id="1812" w:name="_Toc201569491"/>
      <w:bookmarkStart w:id="1813" w:name="_Toc335998754"/>
      <w:r>
        <w:rPr>
          <w:rFonts w:eastAsia="楷体_GB2312"/>
          <w:b/>
          <w:color w:val="000000"/>
          <w:sz w:val="24"/>
        </w:rPr>
        <w:t>附件十：期间/年度受托机构报告参考格式</w:t>
      </w:r>
      <w:bookmarkEnd w:id="1809"/>
      <w:bookmarkEnd w:id="1810"/>
      <w:bookmarkEnd w:id="1811"/>
    </w:p>
    <w:p w14:paraId="1F015EE7">
      <w:pPr>
        <w:spacing w:line="360" w:lineRule="auto"/>
        <w:rPr>
          <w:rFonts w:eastAsia="楷体_GB2312"/>
          <w:b/>
          <w:i/>
          <w:iCs/>
          <w:color w:val="FF0000"/>
          <w:sz w:val="24"/>
        </w:rPr>
      </w:pPr>
      <w:r>
        <w:rPr>
          <w:rFonts w:eastAsia="楷体_GB2312"/>
          <w:b/>
          <w:i/>
          <w:iCs/>
          <w:color w:val="FF0000"/>
          <w:sz w:val="24"/>
        </w:rPr>
        <w:t>【注：报告格式与内容需要按届时所适用的最新信息披露指引进行调整并更新。】</w:t>
      </w:r>
    </w:p>
    <w:p w14:paraId="12A290B9">
      <w:pPr>
        <w:spacing w:line="360" w:lineRule="auto"/>
        <w:jc w:val="center"/>
        <w:rPr>
          <w:rFonts w:eastAsia="楷体_GB2312"/>
          <w:b/>
          <w:color w:val="000000"/>
          <w:sz w:val="32"/>
          <w:szCs w:val="32"/>
        </w:rPr>
      </w:pPr>
      <w:r>
        <w:rPr>
          <w:rFonts w:eastAsia="楷体_GB2312"/>
          <w:b/>
          <w:sz w:val="32"/>
          <w:szCs w:val="32"/>
        </w:rPr>
        <w:t>【信托名称】</w:t>
      </w:r>
    </w:p>
    <w:p w14:paraId="0196C3A8">
      <w:pPr>
        <w:spacing w:line="360" w:lineRule="auto"/>
        <w:jc w:val="center"/>
        <w:rPr>
          <w:rFonts w:eastAsia="楷体_GB2312"/>
          <w:b/>
          <w:color w:val="000000"/>
          <w:sz w:val="32"/>
          <w:szCs w:val="32"/>
        </w:rPr>
      </w:pPr>
      <w:r>
        <w:rPr>
          <w:rFonts w:eastAsia="楷体_GB2312"/>
          <w:b/>
          <w:color w:val="000000"/>
          <w:sz w:val="32"/>
          <w:szCs w:val="32"/>
        </w:rPr>
        <w:t>期间/年度受托机构报告</w:t>
      </w:r>
    </w:p>
    <w:p w14:paraId="0FDCAB39">
      <w:pPr>
        <w:spacing w:line="360" w:lineRule="auto"/>
        <w:jc w:val="center"/>
        <w:rPr>
          <w:rFonts w:eastAsia="楷体_GB2312"/>
          <w:b/>
          <w:color w:val="000000"/>
          <w:sz w:val="32"/>
          <w:szCs w:val="32"/>
        </w:rPr>
      </w:pPr>
      <w:r>
        <w:rPr>
          <w:rFonts w:eastAsia="楷体_GB2312"/>
          <w:b/>
          <w:color w:val="000000"/>
          <w:sz w:val="32"/>
          <w:szCs w:val="32"/>
        </w:rPr>
        <w:t>总第XX期/20XX年度第XX期</w:t>
      </w:r>
    </w:p>
    <w:p w14:paraId="1FA15D1C">
      <w:pPr>
        <w:spacing w:line="360" w:lineRule="auto"/>
        <w:rPr>
          <w:rFonts w:eastAsia="楷体_GB2312"/>
          <w:b/>
          <w:color w:val="000000"/>
        </w:rPr>
      </w:pPr>
    </w:p>
    <w:tbl>
      <w:tblPr>
        <w:tblStyle w:val="28"/>
        <w:tblW w:w="0" w:type="dxa"/>
        <w:jc w:val="center"/>
        <w:tblLayout w:type="fixed"/>
        <w:tblCellMar>
          <w:top w:w="0" w:type="dxa"/>
          <w:left w:w="0" w:type="dxa"/>
          <w:bottom w:w="0" w:type="dxa"/>
          <w:right w:w="0" w:type="dxa"/>
        </w:tblCellMar>
      </w:tblPr>
      <w:tblGrid>
        <w:gridCol w:w="6360"/>
      </w:tblGrid>
      <w:tr w14:paraId="22C9F389">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0C7DD161">
            <w:pPr>
              <w:spacing w:line="360" w:lineRule="auto"/>
              <w:jc w:val="center"/>
              <w:rPr>
                <w:rFonts w:eastAsia="楷体_GB2312"/>
                <w:b/>
                <w:color w:val="000000"/>
              </w:rPr>
            </w:pPr>
            <w:r>
              <w:rPr>
                <w:rFonts w:eastAsia="楷体_GB2312"/>
                <w:b/>
                <w:color w:val="000000"/>
              </w:rPr>
              <w:t>受托人声明</w:t>
            </w:r>
          </w:p>
          <w:p w14:paraId="51D63C09">
            <w:pPr>
              <w:spacing w:line="360" w:lineRule="auto"/>
              <w:ind w:firstLine="422" w:firstLineChars="200"/>
              <w:rPr>
                <w:rFonts w:eastAsia="楷体_GB2312"/>
                <w:b/>
                <w:color w:val="000000"/>
              </w:rPr>
            </w:pPr>
            <w:r>
              <w:rPr>
                <w:rFonts w:eastAsia="楷体_GB2312"/>
                <w:b/>
                <w:color w:val="000000"/>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38908ADD">
      <w:pPr>
        <w:spacing w:line="360" w:lineRule="auto"/>
        <w:jc w:val="center"/>
        <w:rPr>
          <w:rFonts w:eastAsia="楷体_GB2312"/>
          <w:b/>
          <w:color w:val="000000"/>
        </w:rPr>
      </w:pPr>
    </w:p>
    <w:tbl>
      <w:tblPr>
        <w:tblStyle w:val="28"/>
        <w:tblW w:w="0" w:type="dxa"/>
        <w:jc w:val="center"/>
        <w:tblLayout w:type="fixed"/>
        <w:tblCellMar>
          <w:top w:w="0" w:type="dxa"/>
          <w:left w:w="0" w:type="dxa"/>
          <w:bottom w:w="0" w:type="dxa"/>
          <w:right w:w="0" w:type="dxa"/>
        </w:tblCellMar>
      </w:tblPr>
      <w:tblGrid>
        <w:gridCol w:w="1680"/>
        <w:gridCol w:w="5670"/>
      </w:tblGrid>
      <w:tr w14:paraId="1FF60627">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1C2C0DB0">
            <w:pPr>
              <w:spacing w:line="360" w:lineRule="auto"/>
              <w:jc w:val="right"/>
              <w:rPr>
                <w:rFonts w:eastAsia="楷体_GB2312"/>
                <w:b/>
                <w:color w:val="000000"/>
              </w:rPr>
            </w:pPr>
            <w:r>
              <w:rPr>
                <w:rFonts w:eastAsia="楷体_GB2312"/>
                <w:b/>
                <w:color w:val="000000"/>
              </w:rPr>
              <w:t>受托人：</w:t>
            </w:r>
          </w:p>
        </w:tc>
        <w:tc>
          <w:tcPr>
            <w:tcW w:w="5670" w:type="dxa"/>
            <w:tcBorders>
              <w:top w:val="nil"/>
              <w:left w:val="nil"/>
              <w:bottom w:val="nil"/>
              <w:right w:val="nil"/>
            </w:tcBorders>
            <w:vAlign w:val="bottom"/>
          </w:tcPr>
          <w:p w14:paraId="6115E4C3">
            <w:pPr>
              <w:spacing w:line="360" w:lineRule="auto"/>
              <w:rPr>
                <w:rFonts w:eastAsia="楷体_GB2312"/>
                <w:b/>
                <w:color w:val="000000"/>
              </w:rPr>
            </w:pPr>
            <w:r>
              <w:rPr>
                <w:rFonts w:eastAsia="楷体_GB2312"/>
                <w:b/>
                <w:color w:val="000000"/>
              </w:rPr>
              <w:t>【受托机构全称】</w:t>
            </w:r>
          </w:p>
        </w:tc>
      </w:tr>
      <w:tr w14:paraId="44D04229">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C56BC91">
            <w:pPr>
              <w:spacing w:line="360" w:lineRule="auto"/>
              <w:jc w:val="right"/>
              <w:rPr>
                <w:rFonts w:eastAsia="楷体_GB2312"/>
                <w:b/>
                <w:color w:val="000000"/>
              </w:rPr>
            </w:pPr>
            <w:r>
              <w:rPr>
                <w:rFonts w:eastAsia="楷体_GB2312"/>
                <w:b/>
                <w:color w:val="000000"/>
              </w:rPr>
              <w:t>报告日期：</w:t>
            </w:r>
          </w:p>
        </w:tc>
        <w:tc>
          <w:tcPr>
            <w:tcW w:w="5670" w:type="dxa"/>
            <w:tcBorders>
              <w:top w:val="nil"/>
              <w:left w:val="nil"/>
              <w:bottom w:val="nil"/>
              <w:right w:val="nil"/>
            </w:tcBorders>
            <w:vAlign w:val="bottom"/>
          </w:tcPr>
          <w:p w14:paraId="668CDB91">
            <w:pPr>
              <w:spacing w:line="360" w:lineRule="auto"/>
              <w:rPr>
                <w:rFonts w:eastAsia="楷体_GB2312"/>
                <w:b/>
                <w:color w:val="000000"/>
              </w:rPr>
            </w:pPr>
            <w:r>
              <w:rPr>
                <w:rFonts w:eastAsia="楷体_GB2312"/>
                <w:b/>
                <w:color w:val="000000"/>
              </w:rPr>
              <w:t>20XX年XX月XX日</w:t>
            </w:r>
          </w:p>
        </w:tc>
      </w:tr>
      <w:tr w14:paraId="04B5301D">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486FBBC">
            <w:pPr>
              <w:spacing w:line="360" w:lineRule="auto"/>
              <w:jc w:val="right"/>
              <w:rPr>
                <w:rFonts w:eastAsia="楷体_GB2312"/>
                <w:b/>
                <w:color w:val="000000"/>
              </w:rPr>
            </w:pPr>
          </w:p>
        </w:tc>
        <w:tc>
          <w:tcPr>
            <w:tcW w:w="5670" w:type="dxa"/>
            <w:tcBorders>
              <w:top w:val="nil"/>
              <w:left w:val="nil"/>
              <w:bottom w:val="nil"/>
              <w:right w:val="nil"/>
            </w:tcBorders>
            <w:vAlign w:val="bottom"/>
          </w:tcPr>
          <w:p w14:paraId="497410CC">
            <w:pPr>
              <w:spacing w:line="360" w:lineRule="auto"/>
              <w:rPr>
                <w:rFonts w:eastAsia="楷体_GB2312"/>
                <w:b/>
                <w:color w:val="000000"/>
              </w:rPr>
            </w:pPr>
          </w:p>
        </w:tc>
      </w:tr>
      <w:tr w14:paraId="48BCBF4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6037F62">
            <w:pPr>
              <w:spacing w:line="360" w:lineRule="auto"/>
              <w:jc w:val="right"/>
              <w:rPr>
                <w:rFonts w:eastAsia="楷体_GB2312"/>
                <w:b/>
                <w:color w:val="000000"/>
              </w:rPr>
            </w:pPr>
          </w:p>
        </w:tc>
        <w:tc>
          <w:tcPr>
            <w:tcW w:w="5670" w:type="dxa"/>
            <w:tcBorders>
              <w:top w:val="nil"/>
              <w:left w:val="nil"/>
              <w:bottom w:val="nil"/>
              <w:right w:val="nil"/>
            </w:tcBorders>
            <w:vAlign w:val="bottom"/>
          </w:tcPr>
          <w:p w14:paraId="3F3AAAF1">
            <w:pPr>
              <w:spacing w:line="360" w:lineRule="auto"/>
              <w:rPr>
                <w:rFonts w:eastAsia="楷体_GB2312"/>
                <w:b/>
                <w:color w:val="000000"/>
              </w:rPr>
            </w:pPr>
          </w:p>
        </w:tc>
      </w:tr>
      <w:tr w14:paraId="34ABBA93">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0C0418C9">
            <w:pPr>
              <w:spacing w:line="360" w:lineRule="auto"/>
              <w:jc w:val="right"/>
              <w:rPr>
                <w:rFonts w:eastAsia="楷体_GB2312"/>
                <w:b/>
                <w:color w:val="000000"/>
              </w:rPr>
            </w:pPr>
            <w:r>
              <w:rPr>
                <w:rFonts w:eastAsia="楷体_GB2312"/>
                <w:b/>
                <w:color w:val="000000"/>
              </w:rPr>
              <w:t>受托人地址：</w:t>
            </w:r>
          </w:p>
        </w:tc>
        <w:tc>
          <w:tcPr>
            <w:tcW w:w="5670" w:type="dxa"/>
            <w:tcBorders>
              <w:top w:val="nil"/>
              <w:left w:val="nil"/>
              <w:bottom w:val="nil"/>
              <w:right w:val="nil"/>
            </w:tcBorders>
            <w:vAlign w:val="bottom"/>
          </w:tcPr>
          <w:p w14:paraId="14379DC1">
            <w:pPr>
              <w:spacing w:line="360" w:lineRule="auto"/>
              <w:rPr>
                <w:rFonts w:eastAsia="楷体_GB2312"/>
                <w:color w:val="000000"/>
              </w:rPr>
            </w:pPr>
          </w:p>
        </w:tc>
      </w:tr>
      <w:tr w14:paraId="193DAF37">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3B215B7D">
            <w:pPr>
              <w:spacing w:line="360" w:lineRule="auto"/>
              <w:jc w:val="right"/>
              <w:rPr>
                <w:rFonts w:eastAsia="楷体_GB2312"/>
                <w:b/>
                <w:color w:val="000000"/>
              </w:rPr>
            </w:pPr>
            <w:r>
              <w:rPr>
                <w:rFonts w:eastAsia="楷体_GB2312"/>
                <w:b/>
                <w:color w:val="000000"/>
              </w:rPr>
              <w:t>电话：</w:t>
            </w:r>
          </w:p>
        </w:tc>
        <w:tc>
          <w:tcPr>
            <w:tcW w:w="5670" w:type="dxa"/>
            <w:tcBorders>
              <w:top w:val="nil"/>
              <w:left w:val="nil"/>
              <w:bottom w:val="nil"/>
              <w:right w:val="nil"/>
            </w:tcBorders>
            <w:vAlign w:val="bottom"/>
          </w:tcPr>
          <w:p w14:paraId="09BFAC32">
            <w:pPr>
              <w:spacing w:line="360" w:lineRule="auto"/>
              <w:rPr>
                <w:rFonts w:eastAsia="楷体_GB2312"/>
                <w:b/>
                <w:color w:val="000000"/>
              </w:rPr>
            </w:pPr>
          </w:p>
        </w:tc>
      </w:tr>
      <w:tr w14:paraId="17785437">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6E779B88">
            <w:pPr>
              <w:spacing w:line="360" w:lineRule="auto"/>
              <w:jc w:val="right"/>
              <w:rPr>
                <w:rFonts w:eastAsia="楷体_GB2312"/>
                <w:b/>
                <w:color w:val="000000"/>
              </w:rPr>
            </w:pPr>
            <w:r>
              <w:rPr>
                <w:rFonts w:eastAsia="楷体_GB2312"/>
                <w:b/>
                <w:color w:val="000000"/>
              </w:rPr>
              <w:t>传真：</w:t>
            </w:r>
          </w:p>
        </w:tc>
        <w:tc>
          <w:tcPr>
            <w:tcW w:w="5670" w:type="dxa"/>
            <w:tcBorders>
              <w:top w:val="nil"/>
              <w:left w:val="nil"/>
              <w:bottom w:val="nil"/>
              <w:right w:val="nil"/>
            </w:tcBorders>
            <w:vAlign w:val="bottom"/>
          </w:tcPr>
          <w:p w14:paraId="7D96A657">
            <w:pPr>
              <w:spacing w:line="360" w:lineRule="auto"/>
              <w:rPr>
                <w:rFonts w:eastAsia="楷体_GB2312"/>
                <w:b/>
                <w:color w:val="000000"/>
              </w:rPr>
            </w:pPr>
          </w:p>
        </w:tc>
      </w:tr>
      <w:tr w14:paraId="33B50AF4">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E437826">
            <w:pPr>
              <w:spacing w:line="360" w:lineRule="auto"/>
              <w:jc w:val="right"/>
              <w:rPr>
                <w:rFonts w:eastAsia="楷体_GB2312"/>
                <w:b/>
                <w:color w:val="000000"/>
              </w:rPr>
            </w:pPr>
            <w:r>
              <w:rPr>
                <w:rFonts w:eastAsia="楷体_GB2312"/>
                <w:b/>
                <w:color w:val="000000"/>
              </w:rPr>
              <w:t>公司网址：</w:t>
            </w:r>
          </w:p>
        </w:tc>
        <w:tc>
          <w:tcPr>
            <w:tcW w:w="5670" w:type="dxa"/>
            <w:tcBorders>
              <w:top w:val="nil"/>
              <w:left w:val="nil"/>
              <w:bottom w:val="nil"/>
              <w:right w:val="nil"/>
            </w:tcBorders>
            <w:vAlign w:val="bottom"/>
          </w:tcPr>
          <w:p w14:paraId="7D655684">
            <w:pPr>
              <w:spacing w:line="360" w:lineRule="auto"/>
              <w:rPr>
                <w:rFonts w:eastAsia="楷体_GB2312"/>
                <w:b/>
                <w:color w:val="000000"/>
              </w:rPr>
            </w:pPr>
          </w:p>
        </w:tc>
      </w:tr>
      <w:tr w14:paraId="79D8113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371F600">
            <w:pPr>
              <w:spacing w:line="360" w:lineRule="auto"/>
              <w:jc w:val="right"/>
              <w:rPr>
                <w:rFonts w:eastAsia="楷体_GB2312"/>
                <w:b/>
                <w:color w:val="000000"/>
              </w:rPr>
            </w:pPr>
            <w:r>
              <w:rPr>
                <w:rFonts w:eastAsia="楷体_GB2312"/>
                <w:b/>
                <w:color w:val="000000"/>
              </w:rPr>
              <w:t>电子邮件：</w:t>
            </w:r>
          </w:p>
        </w:tc>
        <w:tc>
          <w:tcPr>
            <w:tcW w:w="5670" w:type="dxa"/>
            <w:tcBorders>
              <w:top w:val="nil"/>
              <w:left w:val="nil"/>
              <w:bottom w:val="nil"/>
              <w:right w:val="nil"/>
            </w:tcBorders>
            <w:vAlign w:val="bottom"/>
          </w:tcPr>
          <w:p w14:paraId="05F74328">
            <w:pPr>
              <w:spacing w:line="360" w:lineRule="auto"/>
              <w:rPr>
                <w:rFonts w:eastAsia="楷体_GB2312"/>
                <w:b/>
                <w:color w:val="000000"/>
              </w:rPr>
            </w:pPr>
          </w:p>
        </w:tc>
      </w:tr>
    </w:tbl>
    <w:p w14:paraId="711A952B">
      <w:pPr>
        <w:spacing w:line="360" w:lineRule="auto"/>
        <w:rPr>
          <w:rFonts w:eastAsia="楷体_GB2312"/>
          <w:color w:val="000000"/>
          <w:sz w:val="32"/>
        </w:rPr>
      </w:pPr>
    </w:p>
    <w:p w14:paraId="23D9996B">
      <w:pPr>
        <w:spacing w:line="360" w:lineRule="auto"/>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0"/>
        <w:gridCol w:w="7655"/>
        <w:gridCol w:w="708"/>
      </w:tblGrid>
      <w:tr w14:paraId="2FB2E1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bottom w:val="single" w:color="auto" w:sz="4" w:space="0"/>
            </w:tcBorders>
          </w:tcPr>
          <w:p w14:paraId="6DDF6F04">
            <w:pPr>
              <w:spacing w:line="360" w:lineRule="auto"/>
              <w:jc w:val="center"/>
              <w:rPr>
                <w:rFonts w:eastAsia="楷体_GB2312"/>
                <w:b/>
                <w:color w:val="000000"/>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7D237F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Borders>
              <w:top w:val="single" w:color="auto" w:sz="4" w:space="0"/>
              <w:bottom w:val="nil"/>
            </w:tcBorders>
          </w:tcPr>
          <w:p w14:paraId="7C8CED9A">
            <w:pPr>
              <w:spacing w:line="360" w:lineRule="auto"/>
              <w:rPr>
                <w:rFonts w:eastAsia="楷体_GB2312"/>
                <w:color w:val="000000"/>
              </w:rPr>
            </w:pPr>
          </w:p>
        </w:tc>
        <w:tc>
          <w:tcPr>
            <w:tcW w:w="7655" w:type="dxa"/>
            <w:tcBorders>
              <w:top w:val="single" w:color="auto" w:sz="4" w:space="0"/>
              <w:bottom w:val="nil"/>
            </w:tcBorders>
          </w:tcPr>
          <w:p w14:paraId="45842A60">
            <w:pPr>
              <w:spacing w:line="360" w:lineRule="auto"/>
              <w:ind w:firstLine="360" w:firstLineChars="200"/>
              <w:rPr>
                <w:rFonts w:eastAsia="楷体_GB2312"/>
                <w:color w:val="000000"/>
              </w:rPr>
            </w:pPr>
            <w:r>
              <w:rPr>
                <w:rFonts w:eastAsia="楷体_GB2312"/>
                <w:color w:val="000000"/>
                <w:sz w:val="18"/>
              </w:rPr>
              <w:t>20XX年X月X日，经委托人【发起机构全称】设立、本公司承诺受托管理的“信托名称”依法成立。作为受托人，根据20XX年X月X日【发起机构全称】《贷款服务机构报告》、20XX年X月X日【资金保管机构全称】《资金保管报告》，本公司现向您报告本信托信托财产的管理、运用、处分及收益情况。</w:t>
            </w:r>
          </w:p>
        </w:tc>
        <w:tc>
          <w:tcPr>
            <w:tcW w:w="708" w:type="dxa"/>
            <w:tcBorders>
              <w:top w:val="single" w:color="auto" w:sz="4" w:space="0"/>
              <w:bottom w:val="nil"/>
            </w:tcBorders>
          </w:tcPr>
          <w:p w14:paraId="7A5A8169">
            <w:pPr>
              <w:spacing w:line="360" w:lineRule="auto"/>
              <w:rPr>
                <w:rFonts w:eastAsia="楷体_GB2312"/>
                <w:color w:val="000000"/>
              </w:rPr>
            </w:pPr>
          </w:p>
        </w:tc>
      </w:tr>
      <w:tr w14:paraId="52D41B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Borders>
              <w:top w:val="nil"/>
            </w:tcBorders>
          </w:tcPr>
          <w:p w14:paraId="55DF09C5">
            <w:pPr>
              <w:spacing w:line="360" w:lineRule="auto"/>
              <w:rPr>
                <w:rFonts w:eastAsia="楷体_GB2312"/>
                <w:color w:val="000000"/>
              </w:rPr>
            </w:pPr>
          </w:p>
        </w:tc>
        <w:tc>
          <w:tcPr>
            <w:tcW w:w="7655" w:type="dxa"/>
            <w:tcBorders>
              <w:top w:val="nil"/>
              <w:bottom w:val="nil"/>
            </w:tcBorders>
            <w:shd w:val="clear" w:color="auto" w:fill="C0C0C0"/>
          </w:tcPr>
          <w:p w14:paraId="6886B44A">
            <w:pPr>
              <w:spacing w:line="360" w:lineRule="auto"/>
              <w:rPr>
                <w:rFonts w:eastAsia="楷体_GB2312"/>
                <w:b/>
                <w:color w:val="000000"/>
              </w:rPr>
            </w:pPr>
            <w:r>
              <w:rPr>
                <w:rFonts w:eastAsia="楷体_GB2312"/>
                <w:b/>
                <w:color w:val="000000"/>
              </w:rPr>
              <w:t>内容</w:t>
            </w:r>
          </w:p>
        </w:tc>
        <w:tc>
          <w:tcPr>
            <w:tcW w:w="708" w:type="dxa"/>
            <w:tcBorders>
              <w:top w:val="nil"/>
              <w:bottom w:val="nil"/>
            </w:tcBorders>
            <w:shd w:val="clear" w:color="auto" w:fill="C0C0C0"/>
          </w:tcPr>
          <w:p w14:paraId="12BF600A">
            <w:pPr>
              <w:spacing w:line="360" w:lineRule="auto"/>
              <w:jc w:val="center"/>
              <w:rPr>
                <w:rFonts w:eastAsia="楷体_GB2312"/>
                <w:b/>
                <w:color w:val="000000"/>
              </w:rPr>
            </w:pPr>
            <w:r>
              <w:rPr>
                <w:rFonts w:eastAsia="楷体_GB2312"/>
                <w:b/>
                <w:color w:val="000000"/>
              </w:rPr>
              <w:t>页码</w:t>
            </w:r>
          </w:p>
        </w:tc>
      </w:tr>
      <w:tr w14:paraId="0BA169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Pr>
          <w:p w14:paraId="2E2A1C9F">
            <w:pPr>
              <w:spacing w:line="360" w:lineRule="auto"/>
              <w:rPr>
                <w:rFonts w:eastAsia="楷体_GB2312"/>
                <w:color w:val="000000"/>
              </w:rPr>
            </w:pPr>
          </w:p>
        </w:tc>
        <w:tc>
          <w:tcPr>
            <w:tcW w:w="7655" w:type="dxa"/>
            <w:tcBorders>
              <w:top w:val="nil"/>
            </w:tcBorders>
          </w:tcPr>
          <w:p w14:paraId="2098B9D5">
            <w:pPr>
              <w:spacing w:line="360" w:lineRule="auto"/>
              <w:rPr>
                <w:rFonts w:eastAsia="楷体_GB2312"/>
                <w:color w:val="000000"/>
              </w:rPr>
            </w:pPr>
            <w:r>
              <w:rPr>
                <w:rFonts w:eastAsia="楷体_GB2312"/>
                <w:color w:val="000000"/>
              </w:rPr>
              <w:t>一、受托人和证券化服务机构的名称、地址</w:t>
            </w:r>
          </w:p>
          <w:p w14:paraId="1E1DF174">
            <w:pPr>
              <w:spacing w:line="360" w:lineRule="auto"/>
              <w:rPr>
                <w:rFonts w:eastAsia="楷体_GB2312"/>
                <w:color w:val="000000"/>
              </w:rPr>
            </w:pPr>
            <w:r>
              <w:rPr>
                <w:rFonts w:eastAsia="楷体_GB2312"/>
                <w:color w:val="000000"/>
              </w:rPr>
              <w:t>二、信托账户和分账户本期核算概况</w:t>
            </w:r>
          </w:p>
          <w:p w14:paraId="7DC4B725">
            <w:pPr>
              <w:spacing w:line="360" w:lineRule="auto"/>
              <w:rPr>
                <w:rFonts w:eastAsia="楷体_GB2312"/>
                <w:color w:val="000000"/>
              </w:rPr>
            </w:pPr>
            <w:r>
              <w:rPr>
                <w:rFonts w:eastAsia="楷体_GB2312"/>
                <w:color w:val="000000"/>
              </w:rPr>
              <w:t>三、资产支持证券概况</w:t>
            </w:r>
          </w:p>
          <w:p w14:paraId="7EB2F5A2">
            <w:pPr>
              <w:spacing w:line="360" w:lineRule="auto"/>
              <w:rPr>
                <w:rFonts w:eastAsia="楷体_GB2312"/>
                <w:color w:val="000000"/>
              </w:rPr>
            </w:pPr>
            <w:r>
              <w:rPr>
                <w:rFonts w:eastAsia="楷体_GB2312"/>
                <w:color w:val="000000"/>
              </w:rPr>
              <w:t>四、资产池表现情况</w:t>
            </w:r>
          </w:p>
          <w:p w14:paraId="328636F9">
            <w:pPr>
              <w:spacing w:line="360" w:lineRule="auto"/>
              <w:rPr>
                <w:rFonts w:eastAsia="楷体_GB2312"/>
                <w:color w:val="000000"/>
              </w:rPr>
            </w:pPr>
            <w:r>
              <w:rPr>
                <w:rFonts w:eastAsia="楷体_GB2312"/>
                <w:color w:val="000000"/>
              </w:rPr>
              <w:t>五、本期资产支持证券内外部信用增级情况</w:t>
            </w:r>
          </w:p>
          <w:p w14:paraId="61F7B051">
            <w:pPr>
              <w:spacing w:line="360" w:lineRule="auto"/>
              <w:rPr>
                <w:rFonts w:eastAsia="楷体_GB2312"/>
                <w:color w:val="000000"/>
              </w:rPr>
            </w:pPr>
            <w:r>
              <w:rPr>
                <w:rFonts w:eastAsia="楷体_GB2312"/>
                <w:color w:val="000000"/>
              </w:rPr>
              <w:t>六、对证券化信托财产和信托事务管理产生重大影响的事项</w:t>
            </w:r>
          </w:p>
          <w:p w14:paraId="763406AA">
            <w:pPr>
              <w:spacing w:line="360" w:lineRule="auto"/>
              <w:rPr>
                <w:rFonts w:eastAsia="楷体_GB2312"/>
                <w:color w:val="000000"/>
              </w:rPr>
            </w:pPr>
            <w:r>
              <w:rPr>
                <w:rFonts w:eastAsia="楷体_GB2312"/>
                <w:color w:val="000000"/>
              </w:rPr>
              <w:t>七、其他重大事项报告</w:t>
            </w:r>
          </w:p>
          <w:p w14:paraId="44F08F89">
            <w:pPr>
              <w:spacing w:line="360" w:lineRule="auto"/>
              <w:rPr>
                <w:rFonts w:eastAsia="楷体_GB2312"/>
                <w:color w:val="000000"/>
              </w:rPr>
            </w:pPr>
            <w:r>
              <w:rPr>
                <w:rFonts w:eastAsia="楷体_GB2312"/>
                <w:color w:val="000000"/>
              </w:rPr>
              <w:t>八、报告接收情况说明</w:t>
            </w:r>
          </w:p>
          <w:p w14:paraId="5BBF4446">
            <w:pPr>
              <w:spacing w:line="360" w:lineRule="auto"/>
              <w:rPr>
                <w:rFonts w:eastAsia="楷体_GB2312"/>
                <w:color w:val="000000"/>
              </w:rPr>
            </w:pPr>
            <w:r>
              <w:rPr>
                <w:rFonts w:eastAsia="楷体_GB2312"/>
                <w:color w:val="000000"/>
              </w:rPr>
              <w:t>九、差错更正说明</w:t>
            </w:r>
          </w:p>
          <w:p w14:paraId="53AB1289">
            <w:pPr>
              <w:spacing w:line="360" w:lineRule="auto"/>
              <w:rPr>
                <w:rFonts w:eastAsia="楷体_GB2312"/>
                <w:color w:val="000000"/>
              </w:rPr>
            </w:pPr>
            <w:r>
              <w:rPr>
                <w:rFonts w:eastAsia="楷体_GB2312"/>
                <w:color w:val="000000"/>
              </w:rPr>
              <w:t>十、备查文件</w:t>
            </w:r>
          </w:p>
          <w:p w14:paraId="64F2FB31">
            <w:pPr>
              <w:spacing w:line="360" w:lineRule="auto"/>
              <w:rPr>
                <w:rFonts w:eastAsia="楷体_GB2312"/>
                <w:color w:val="000000"/>
              </w:rPr>
            </w:pPr>
          </w:p>
          <w:p w14:paraId="589B7671">
            <w:pPr>
              <w:spacing w:line="360" w:lineRule="auto"/>
              <w:rPr>
                <w:rFonts w:eastAsia="楷体_GB2312"/>
                <w:color w:val="000000"/>
                <w:sz w:val="18"/>
              </w:rPr>
            </w:pPr>
          </w:p>
        </w:tc>
        <w:tc>
          <w:tcPr>
            <w:tcW w:w="708" w:type="dxa"/>
            <w:tcBorders>
              <w:top w:val="nil"/>
            </w:tcBorders>
          </w:tcPr>
          <w:p w14:paraId="5F1BBF9D">
            <w:pPr>
              <w:spacing w:line="360" w:lineRule="auto"/>
              <w:rPr>
                <w:rFonts w:eastAsia="楷体_GB2312"/>
                <w:color w:val="000000"/>
              </w:rPr>
            </w:pPr>
          </w:p>
          <w:p w14:paraId="4692DFD3">
            <w:pPr>
              <w:spacing w:line="360" w:lineRule="auto"/>
              <w:rPr>
                <w:rFonts w:eastAsia="楷体_GB2312"/>
                <w:color w:val="000000"/>
              </w:rPr>
            </w:pPr>
          </w:p>
        </w:tc>
      </w:tr>
      <w:tr w14:paraId="1682BA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50" w:type="dxa"/>
          </w:tcPr>
          <w:p w14:paraId="4A6500F7">
            <w:pPr>
              <w:spacing w:line="360" w:lineRule="auto"/>
              <w:rPr>
                <w:rFonts w:eastAsia="楷体_GB2312"/>
                <w:color w:val="000000"/>
                <w:sz w:val="18"/>
              </w:rPr>
            </w:pPr>
            <w:r>
              <w:rPr>
                <w:rFonts w:eastAsia="楷体_GB2312"/>
                <w:color w:val="000000"/>
                <w:sz w:val="18"/>
              </w:rPr>
              <w:t>注：</w:t>
            </w:r>
          </w:p>
        </w:tc>
        <w:tc>
          <w:tcPr>
            <w:tcW w:w="7655" w:type="dxa"/>
          </w:tcPr>
          <w:p w14:paraId="1FE2EA9C">
            <w:pPr>
              <w:spacing w:line="360" w:lineRule="auto"/>
              <w:rPr>
                <w:rFonts w:eastAsia="楷体_GB2312"/>
                <w:color w:val="000000"/>
                <w:sz w:val="18"/>
                <w:szCs w:val="18"/>
              </w:rPr>
            </w:pPr>
            <w:r>
              <w:rPr>
                <w:rFonts w:eastAsia="楷体_GB2312"/>
                <w:color w:val="000000"/>
                <w:sz w:val="18"/>
              </w:rPr>
              <w:t>1.本报告内容在以下</w:t>
            </w:r>
            <w:r>
              <w:rPr>
                <w:rFonts w:hint="eastAsia" w:eastAsia="楷体_GB2312"/>
                <w:color w:val="000000"/>
                <w:sz w:val="18"/>
              </w:rPr>
              <w:t>渠道</w:t>
            </w:r>
            <w:r>
              <w:rPr>
                <w:rFonts w:eastAsia="楷体_GB2312"/>
                <w:color w:val="000000"/>
                <w:sz w:val="18"/>
              </w:rPr>
              <w:t>披露：</w:t>
            </w:r>
            <w:r>
              <w:rPr>
                <w:rFonts w:eastAsia="楷体_GB2312"/>
                <w:color w:val="000000"/>
                <w:sz w:val="18"/>
                <w:szCs w:val="18"/>
              </w:rPr>
              <w:t>交易商协会综合业务和信息服务平台、中国货币网、中国债券信息网、北金所官方网站及交易商协会认可的其他方式。</w:t>
            </w:r>
          </w:p>
          <w:p w14:paraId="5F4F2535">
            <w:pPr>
              <w:spacing w:line="360" w:lineRule="auto"/>
              <w:rPr>
                <w:rFonts w:eastAsia="楷体_GB2312"/>
                <w:color w:val="000000"/>
                <w:sz w:val="18"/>
              </w:rPr>
            </w:pPr>
            <w:r>
              <w:rPr>
                <w:rFonts w:eastAsia="楷体_GB2312"/>
                <w:color w:val="000000"/>
                <w:sz w:val="18"/>
              </w:rPr>
              <w:t>2.本报告内容根据贷款服务机构报告、资金保管报告等报告内容编制。</w:t>
            </w:r>
          </w:p>
          <w:p w14:paraId="7A53477B">
            <w:pPr>
              <w:spacing w:line="360" w:lineRule="auto"/>
              <w:rPr>
                <w:rFonts w:eastAsia="楷体_GB2312"/>
                <w:color w:val="000000"/>
                <w:sz w:val="18"/>
              </w:rPr>
            </w:pPr>
            <w:r>
              <w:rPr>
                <w:rFonts w:eastAsia="楷体_GB2312"/>
                <w:color w:val="000000"/>
                <w:sz w:val="18"/>
              </w:rPr>
              <w:t>3.本报告金额单位均以人民币元计。</w:t>
            </w:r>
          </w:p>
          <w:p w14:paraId="67EA22BB">
            <w:pPr>
              <w:spacing w:line="360" w:lineRule="auto"/>
              <w:rPr>
                <w:rFonts w:eastAsia="楷体_GB2312"/>
                <w:color w:val="000000"/>
                <w:sz w:val="18"/>
              </w:rPr>
            </w:pPr>
            <w:r>
              <w:rPr>
                <w:rFonts w:eastAsia="楷体_GB2312"/>
                <w:color w:val="000000"/>
                <w:sz w:val="18"/>
              </w:rPr>
              <w:t>4.本报告涵盖的收款期间为</w:t>
            </w:r>
            <w:r>
              <w:rPr>
                <w:rFonts w:hint="eastAsia" w:eastAsia="楷体_GB2312"/>
                <w:color w:val="000000"/>
                <w:sz w:val="18"/>
              </w:rPr>
              <w:t>：</w:t>
            </w:r>
            <w:r>
              <w:rPr>
                <w:rFonts w:eastAsia="楷体_GB2312"/>
                <w:color w:val="000000"/>
                <w:sz w:val="18"/>
              </w:rPr>
              <w:t>----年--月--日（【含/不含】该日）至----年--月--日（【不含/含】该日）</w:t>
            </w:r>
          </w:p>
          <w:p w14:paraId="1C435340">
            <w:pPr>
              <w:spacing w:line="360" w:lineRule="auto"/>
              <w:rPr>
                <w:rFonts w:eastAsia="楷体_GB2312"/>
                <w:color w:val="000000"/>
              </w:rPr>
            </w:pPr>
            <w:r>
              <w:rPr>
                <w:rFonts w:eastAsia="楷体_GB2312"/>
                <w:color w:val="000000"/>
                <w:sz w:val="18"/>
              </w:rPr>
              <w:t>5.本报告涵盖的计息期间为</w:t>
            </w:r>
            <w:r>
              <w:rPr>
                <w:rFonts w:hint="eastAsia" w:eastAsia="楷体_GB2312"/>
                <w:color w:val="000000"/>
                <w:sz w:val="18"/>
              </w:rPr>
              <w:t>：</w:t>
            </w:r>
            <w:r>
              <w:rPr>
                <w:rFonts w:eastAsia="楷体_GB2312"/>
                <w:color w:val="000000"/>
                <w:sz w:val="18"/>
              </w:rPr>
              <w:t>----年--月--日（【含/不含】该日）至----年--月--日（【不含/含】该日）</w:t>
            </w:r>
          </w:p>
        </w:tc>
        <w:tc>
          <w:tcPr>
            <w:tcW w:w="708" w:type="dxa"/>
          </w:tcPr>
          <w:p w14:paraId="5DDD86A1">
            <w:pPr>
              <w:spacing w:line="360" w:lineRule="auto"/>
              <w:rPr>
                <w:rFonts w:eastAsia="楷体_GB2312"/>
                <w:color w:val="000000"/>
              </w:rPr>
            </w:pPr>
          </w:p>
        </w:tc>
      </w:tr>
    </w:tbl>
    <w:p w14:paraId="302C9169">
      <w:pPr>
        <w:spacing w:line="360" w:lineRule="auto"/>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6"/>
        <w:gridCol w:w="2551"/>
        <w:gridCol w:w="2735"/>
        <w:gridCol w:w="1704"/>
      </w:tblGrid>
      <w:tr w14:paraId="186AB5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bottom w:val="single" w:color="auto" w:sz="4" w:space="0"/>
            </w:tcBorders>
          </w:tcPr>
          <w:p w14:paraId="38D32CCE">
            <w:pPr>
              <w:spacing w:line="360" w:lineRule="auto"/>
              <w:jc w:val="center"/>
              <w:rPr>
                <w:rFonts w:eastAsia="楷体_GB2312"/>
                <w:b/>
                <w:color w:val="000000"/>
                <w:sz w:val="28"/>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3419A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top w:val="single" w:color="auto" w:sz="4" w:space="0"/>
              <w:bottom w:val="single" w:color="auto" w:sz="4" w:space="0"/>
            </w:tcBorders>
          </w:tcPr>
          <w:p w14:paraId="50C1C119">
            <w:pPr>
              <w:spacing w:line="360" w:lineRule="auto"/>
              <w:rPr>
                <w:rFonts w:eastAsia="楷体_GB2312"/>
                <w:b/>
                <w:color w:val="000000"/>
              </w:rPr>
            </w:pPr>
            <w:r>
              <w:rPr>
                <w:rFonts w:eastAsia="楷体_GB2312"/>
                <w:b/>
                <w:color w:val="000000"/>
              </w:rPr>
              <w:t>一、受托人和证券化服务机构的名称、地址</w:t>
            </w:r>
          </w:p>
        </w:tc>
      </w:tr>
      <w:tr w14:paraId="0DA1B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58485D35">
            <w:pPr>
              <w:spacing w:line="360" w:lineRule="auto"/>
              <w:rPr>
                <w:rFonts w:eastAsia="楷体_GB2312"/>
                <w:b/>
                <w:color w:val="000000"/>
              </w:rPr>
            </w:pPr>
            <w:r>
              <w:rPr>
                <w:rFonts w:eastAsia="楷体_GB2312"/>
                <w:b/>
                <w:color w:val="000000"/>
              </w:rPr>
              <w:t>机构类型</w:t>
            </w:r>
          </w:p>
        </w:tc>
        <w:tc>
          <w:tcPr>
            <w:tcW w:w="2551" w:type="dxa"/>
            <w:tcBorders>
              <w:top w:val="single" w:color="auto" w:sz="4" w:space="0"/>
              <w:left w:val="single" w:color="auto" w:sz="4" w:space="0"/>
              <w:bottom w:val="single" w:color="auto" w:sz="4" w:space="0"/>
              <w:right w:val="single" w:color="auto" w:sz="4" w:space="0"/>
            </w:tcBorders>
          </w:tcPr>
          <w:p w14:paraId="6B2CABFE">
            <w:pPr>
              <w:spacing w:line="360" w:lineRule="auto"/>
              <w:rPr>
                <w:rFonts w:eastAsia="楷体_GB2312"/>
                <w:b/>
                <w:color w:val="000000"/>
              </w:rPr>
            </w:pPr>
            <w:r>
              <w:rPr>
                <w:rFonts w:eastAsia="楷体_GB2312"/>
                <w:b/>
                <w:color w:val="000000"/>
              </w:rPr>
              <w:t>名称</w:t>
            </w:r>
          </w:p>
        </w:tc>
        <w:tc>
          <w:tcPr>
            <w:tcW w:w="2735" w:type="dxa"/>
            <w:tcBorders>
              <w:top w:val="single" w:color="auto" w:sz="4" w:space="0"/>
              <w:left w:val="single" w:color="auto" w:sz="4" w:space="0"/>
              <w:bottom w:val="single" w:color="auto" w:sz="4" w:space="0"/>
              <w:right w:val="single" w:color="auto" w:sz="4" w:space="0"/>
            </w:tcBorders>
          </w:tcPr>
          <w:p w14:paraId="2BCF2523">
            <w:pPr>
              <w:spacing w:line="360" w:lineRule="auto"/>
              <w:rPr>
                <w:rFonts w:eastAsia="楷体_GB2312"/>
                <w:b/>
                <w:color w:val="000000"/>
              </w:rPr>
            </w:pPr>
            <w:r>
              <w:rPr>
                <w:rFonts w:eastAsia="楷体_GB2312"/>
                <w:b/>
                <w:color w:val="000000"/>
              </w:rPr>
              <w:t>地址</w:t>
            </w:r>
          </w:p>
        </w:tc>
        <w:tc>
          <w:tcPr>
            <w:tcW w:w="1704" w:type="dxa"/>
            <w:tcBorders>
              <w:top w:val="single" w:color="auto" w:sz="4" w:space="0"/>
              <w:left w:val="single" w:color="auto" w:sz="4" w:space="0"/>
              <w:bottom w:val="single" w:color="auto" w:sz="4" w:space="0"/>
            </w:tcBorders>
          </w:tcPr>
          <w:p w14:paraId="44D07EEA">
            <w:pPr>
              <w:spacing w:line="360" w:lineRule="auto"/>
              <w:rPr>
                <w:rFonts w:eastAsia="楷体_GB2312"/>
                <w:b/>
                <w:color w:val="000000"/>
              </w:rPr>
            </w:pPr>
            <w:r>
              <w:rPr>
                <w:rFonts w:eastAsia="楷体_GB2312"/>
                <w:b/>
                <w:color w:val="000000"/>
              </w:rPr>
              <w:t>联系电话</w:t>
            </w:r>
          </w:p>
        </w:tc>
      </w:tr>
      <w:tr w14:paraId="3BCC5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0F01A6E5">
            <w:pPr>
              <w:spacing w:line="360" w:lineRule="auto"/>
              <w:rPr>
                <w:rFonts w:eastAsia="楷体_GB2312"/>
                <w:color w:val="000000"/>
                <w:sz w:val="18"/>
              </w:rPr>
            </w:pPr>
            <w:r>
              <w:rPr>
                <w:rFonts w:eastAsia="楷体_GB2312"/>
                <w:color w:val="000000"/>
                <w:sz w:val="18"/>
              </w:rPr>
              <w:t>受托人</w:t>
            </w:r>
          </w:p>
          <w:p w14:paraId="4D6C5E95">
            <w:pPr>
              <w:spacing w:line="360" w:lineRule="auto"/>
              <w:rPr>
                <w:rFonts w:eastAsia="楷体_GB2312"/>
                <w:color w:val="000000"/>
                <w:sz w:val="18"/>
              </w:rPr>
            </w:pPr>
          </w:p>
        </w:tc>
        <w:tc>
          <w:tcPr>
            <w:tcW w:w="2551" w:type="dxa"/>
            <w:tcBorders>
              <w:top w:val="single" w:color="auto" w:sz="4" w:space="0"/>
              <w:left w:val="single" w:color="auto" w:sz="4" w:space="0"/>
              <w:bottom w:val="single" w:color="auto" w:sz="4" w:space="0"/>
              <w:right w:val="single" w:color="auto" w:sz="4" w:space="0"/>
            </w:tcBorders>
          </w:tcPr>
          <w:p w14:paraId="5175473B">
            <w:pPr>
              <w:spacing w:line="360" w:lineRule="auto"/>
              <w:rPr>
                <w:rFonts w:eastAsia="楷体_GB2312"/>
                <w:color w:val="000000"/>
                <w:sz w:val="18"/>
              </w:rPr>
            </w:pPr>
            <w:r>
              <w:rPr>
                <w:rFonts w:eastAsia="楷体_GB2312"/>
                <w:color w:val="000000"/>
                <w:sz w:val="18"/>
              </w:rPr>
              <w:t>【受托机构全称】</w:t>
            </w:r>
          </w:p>
        </w:tc>
        <w:tc>
          <w:tcPr>
            <w:tcW w:w="2735" w:type="dxa"/>
            <w:tcBorders>
              <w:top w:val="single" w:color="auto" w:sz="4" w:space="0"/>
              <w:left w:val="single" w:color="auto" w:sz="4" w:space="0"/>
              <w:bottom w:val="single" w:color="auto" w:sz="4" w:space="0"/>
              <w:right w:val="single" w:color="auto" w:sz="4" w:space="0"/>
            </w:tcBorders>
          </w:tcPr>
          <w:p w14:paraId="1B3A78C1">
            <w:pPr>
              <w:spacing w:line="360" w:lineRule="auto"/>
              <w:jc w:val="center"/>
              <w:rPr>
                <w:rFonts w:eastAsia="楷体_GB2312"/>
                <w:color w:val="000000"/>
                <w:sz w:val="18"/>
              </w:rPr>
            </w:pPr>
          </w:p>
        </w:tc>
        <w:tc>
          <w:tcPr>
            <w:tcW w:w="1704" w:type="dxa"/>
            <w:tcBorders>
              <w:top w:val="single" w:color="auto" w:sz="4" w:space="0"/>
              <w:left w:val="single" w:color="auto" w:sz="4" w:space="0"/>
              <w:bottom w:val="single" w:color="auto" w:sz="4" w:space="0"/>
            </w:tcBorders>
          </w:tcPr>
          <w:p w14:paraId="2D37412E">
            <w:pPr>
              <w:spacing w:line="360" w:lineRule="auto"/>
              <w:jc w:val="center"/>
              <w:rPr>
                <w:rFonts w:eastAsia="楷体_GB2312"/>
                <w:color w:val="000000"/>
                <w:sz w:val="18"/>
              </w:rPr>
            </w:pPr>
          </w:p>
        </w:tc>
      </w:tr>
      <w:tr w14:paraId="1BFB8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2A179F70">
            <w:pPr>
              <w:spacing w:line="360" w:lineRule="auto"/>
              <w:rPr>
                <w:rFonts w:eastAsia="楷体_GB2312"/>
                <w:color w:val="000000"/>
                <w:sz w:val="18"/>
              </w:rPr>
            </w:pPr>
            <w:r>
              <w:rPr>
                <w:rFonts w:eastAsia="楷体_GB2312"/>
                <w:color w:val="000000"/>
                <w:sz w:val="18"/>
              </w:rPr>
              <w:t>贷款服务机构</w:t>
            </w:r>
          </w:p>
          <w:p w14:paraId="674C6380">
            <w:pPr>
              <w:spacing w:line="360" w:lineRule="auto"/>
              <w:rPr>
                <w:rFonts w:eastAsia="楷体_GB2312"/>
                <w:color w:val="000000"/>
                <w:sz w:val="18"/>
              </w:rPr>
            </w:pPr>
          </w:p>
        </w:tc>
        <w:tc>
          <w:tcPr>
            <w:tcW w:w="2551" w:type="dxa"/>
            <w:tcBorders>
              <w:top w:val="single" w:color="auto" w:sz="4" w:space="0"/>
              <w:left w:val="single" w:color="auto" w:sz="4" w:space="0"/>
              <w:bottom w:val="single" w:color="auto" w:sz="4" w:space="0"/>
              <w:right w:val="single" w:color="auto" w:sz="4" w:space="0"/>
            </w:tcBorders>
          </w:tcPr>
          <w:p w14:paraId="78922134">
            <w:pPr>
              <w:spacing w:line="360" w:lineRule="auto"/>
              <w:rPr>
                <w:rFonts w:eastAsia="楷体_GB2312"/>
                <w:color w:val="000000"/>
                <w:sz w:val="18"/>
              </w:rPr>
            </w:pPr>
            <w:r>
              <w:rPr>
                <w:rFonts w:eastAsia="楷体_GB2312"/>
                <w:color w:val="000000"/>
                <w:sz w:val="18"/>
              </w:rPr>
              <w:t>【发起机构全称】</w:t>
            </w:r>
          </w:p>
        </w:tc>
        <w:tc>
          <w:tcPr>
            <w:tcW w:w="2735" w:type="dxa"/>
            <w:tcBorders>
              <w:top w:val="single" w:color="auto" w:sz="4" w:space="0"/>
              <w:left w:val="single" w:color="auto" w:sz="4" w:space="0"/>
              <w:bottom w:val="single" w:color="auto" w:sz="4" w:space="0"/>
              <w:right w:val="single" w:color="auto" w:sz="4" w:space="0"/>
            </w:tcBorders>
          </w:tcPr>
          <w:p w14:paraId="1910C3D3">
            <w:pPr>
              <w:spacing w:line="360" w:lineRule="auto"/>
              <w:rPr>
                <w:rFonts w:eastAsia="楷体_GB2312"/>
                <w:color w:val="000000"/>
                <w:sz w:val="18"/>
              </w:rPr>
            </w:pPr>
          </w:p>
        </w:tc>
        <w:tc>
          <w:tcPr>
            <w:tcW w:w="1704" w:type="dxa"/>
            <w:tcBorders>
              <w:top w:val="single" w:color="auto" w:sz="4" w:space="0"/>
              <w:left w:val="single" w:color="auto" w:sz="4" w:space="0"/>
              <w:bottom w:val="single" w:color="auto" w:sz="4" w:space="0"/>
            </w:tcBorders>
          </w:tcPr>
          <w:p w14:paraId="333539EA">
            <w:pPr>
              <w:spacing w:line="360" w:lineRule="auto"/>
              <w:rPr>
                <w:rFonts w:eastAsia="楷体_GB2312"/>
                <w:color w:val="000000"/>
                <w:sz w:val="18"/>
              </w:rPr>
            </w:pPr>
          </w:p>
        </w:tc>
      </w:tr>
      <w:tr w14:paraId="7C3ACA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1C2ADC4C">
            <w:pPr>
              <w:spacing w:line="360" w:lineRule="auto"/>
              <w:rPr>
                <w:rFonts w:eastAsia="楷体_GB2312"/>
                <w:color w:val="000000"/>
                <w:sz w:val="18"/>
              </w:rPr>
            </w:pPr>
            <w:r>
              <w:rPr>
                <w:rFonts w:eastAsia="楷体_GB2312"/>
                <w:color w:val="000000"/>
                <w:sz w:val="18"/>
              </w:rPr>
              <w:t>资金保管机构</w:t>
            </w:r>
          </w:p>
          <w:p w14:paraId="3351FEAA">
            <w:pPr>
              <w:spacing w:line="360" w:lineRule="auto"/>
              <w:rPr>
                <w:rFonts w:eastAsia="楷体_GB2312"/>
                <w:color w:val="000000"/>
                <w:sz w:val="18"/>
              </w:rPr>
            </w:pPr>
          </w:p>
        </w:tc>
        <w:tc>
          <w:tcPr>
            <w:tcW w:w="2551" w:type="dxa"/>
            <w:tcBorders>
              <w:top w:val="single" w:color="auto" w:sz="4" w:space="0"/>
              <w:left w:val="single" w:color="auto" w:sz="4" w:space="0"/>
              <w:bottom w:val="single" w:color="auto" w:sz="4" w:space="0"/>
              <w:right w:val="single" w:color="auto" w:sz="4" w:space="0"/>
            </w:tcBorders>
          </w:tcPr>
          <w:p w14:paraId="6BA39C4B">
            <w:pPr>
              <w:spacing w:line="360" w:lineRule="auto"/>
              <w:rPr>
                <w:rFonts w:eastAsia="楷体_GB2312"/>
                <w:color w:val="000000"/>
                <w:sz w:val="18"/>
              </w:rPr>
            </w:pPr>
            <w:r>
              <w:rPr>
                <w:rFonts w:eastAsia="楷体_GB2312"/>
                <w:color w:val="000000"/>
                <w:sz w:val="18"/>
              </w:rPr>
              <w:t>【资金保管机构全称】</w:t>
            </w:r>
          </w:p>
        </w:tc>
        <w:tc>
          <w:tcPr>
            <w:tcW w:w="2735" w:type="dxa"/>
            <w:tcBorders>
              <w:top w:val="single" w:color="auto" w:sz="4" w:space="0"/>
              <w:left w:val="single" w:color="auto" w:sz="4" w:space="0"/>
              <w:bottom w:val="single" w:color="auto" w:sz="4" w:space="0"/>
              <w:right w:val="single" w:color="auto" w:sz="4" w:space="0"/>
            </w:tcBorders>
          </w:tcPr>
          <w:p w14:paraId="7EAFCF98">
            <w:pPr>
              <w:spacing w:line="360" w:lineRule="auto"/>
              <w:rPr>
                <w:rFonts w:eastAsia="楷体_GB2312"/>
                <w:color w:val="000000"/>
                <w:sz w:val="18"/>
              </w:rPr>
            </w:pPr>
          </w:p>
        </w:tc>
        <w:tc>
          <w:tcPr>
            <w:tcW w:w="1704" w:type="dxa"/>
            <w:tcBorders>
              <w:top w:val="single" w:color="auto" w:sz="4" w:space="0"/>
              <w:left w:val="single" w:color="auto" w:sz="4" w:space="0"/>
              <w:bottom w:val="single" w:color="auto" w:sz="4" w:space="0"/>
            </w:tcBorders>
          </w:tcPr>
          <w:p w14:paraId="39BBFF38">
            <w:pPr>
              <w:spacing w:line="360" w:lineRule="auto"/>
              <w:rPr>
                <w:rFonts w:eastAsia="楷体_GB2312"/>
                <w:color w:val="000000"/>
                <w:sz w:val="18"/>
              </w:rPr>
            </w:pPr>
          </w:p>
        </w:tc>
      </w:tr>
      <w:tr w14:paraId="6A3106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767F408A">
            <w:pPr>
              <w:spacing w:line="360" w:lineRule="auto"/>
              <w:rPr>
                <w:rFonts w:eastAsia="楷体_GB2312"/>
                <w:color w:val="000000"/>
                <w:sz w:val="18"/>
              </w:rPr>
            </w:pPr>
            <w:r>
              <w:rPr>
                <w:rFonts w:eastAsia="楷体_GB2312"/>
                <w:color w:val="000000"/>
                <w:sz w:val="18"/>
              </w:rPr>
              <w:t>登记托管机构</w:t>
            </w:r>
          </w:p>
          <w:p w14:paraId="0ADBF6BB">
            <w:pPr>
              <w:spacing w:line="360" w:lineRule="auto"/>
              <w:rPr>
                <w:rFonts w:eastAsia="楷体_GB2312"/>
                <w:color w:val="000000"/>
                <w:sz w:val="18"/>
              </w:rPr>
            </w:pPr>
          </w:p>
        </w:tc>
        <w:tc>
          <w:tcPr>
            <w:tcW w:w="2551" w:type="dxa"/>
            <w:tcBorders>
              <w:top w:val="single" w:color="auto" w:sz="4" w:space="0"/>
              <w:left w:val="single" w:color="auto" w:sz="4" w:space="0"/>
              <w:bottom w:val="single" w:color="auto" w:sz="4" w:space="0"/>
              <w:right w:val="single" w:color="auto" w:sz="4" w:space="0"/>
            </w:tcBorders>
          </w:tcPr>
          <w:p w14:paraId="33951C81">
            <w:pPr>
              <w:spacing w:line="360" w:lineRule="auto"/>
              <w:rPr>
                <w:rFonts w:eastAsia="楷体_GB2312"/>
                <w:color w:val="000000"/>
                <w:sz w:val="18"/>
              </w:rPr>
            </w:pPr>
          </w:p>
        </w:tc>
        <w:tc>
          <w:tcPr>
            <w:tcW w:w="2735" w:type="dxa"/>
            <w:tcBorders>
              <w:top w:val="single" w:color="auto" w:sz="4" w:space="0"/>
              <w:left w:val="single" w:color="auto" w:sz="4" w:space="0"/>
              <w:bottom w:val="single" w:color="auto" w:sz="4" w:space="0"/>
              <w:right w:val="single" w:color="auto" w:sz="4" w:space="0"/>
            </w:tcBorders>
          </w:tcPr>
          <w:p w14:paraId="7A736005">
            <w:pPr>
              <w:spacing w:line="360" w:lineRule="auto"/>
              <w:rPr>
                <w:rFonts w:eastAsia="楷体_GB2312"/>
                <w:color w:val="000000"/>
                <w:sz w:val="18"/>
              </w:rPr>
            </w:pPr>
          </w:p>
        </w:tc>
        <w:tc>
          <w:tcPr>
            <w:tcW w:w="1704" w:type="dxa"/>
            <w:tcBorders>
              <w:top w:val="single" w:color="auto" w:sz="4" w:space="0"/>
              <w:left w:val="single" w:color="auto" w:sz="4" w:space="0"/>
              <w:bottom w:val="single" w:color="auto" w:sz="4" w:space="0"/>
            </w:tcBorders>
          </w:tcPr>
          <w:p w14:paraId="373793E2">
            <w:pPr>
              <w:spacing w:line="360" w:lineRule="auto"/>
              <w:rPr>
                <w:rFonts w:eastAsia="楷体_GB2312"/>
                <w:color w:val="000000"/>
                <w:sz w:val="18"/>
              </w:rPr>
            </w:pPr>
          </w:p>
        </w:tc>
      </w:tr>
      <w:tr w14:paraId="3469CC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26" w:type="dxa"/>
            <w:tcBorders>
              <w:top w:val="single" w:color="auto" w:sz="4" w:space="0"/>
              <w:bottom w:val="single" w:color="auto" w:sz="4" w:space="0"/>
              <w:right w:val="single" w:color="auto" w:sz="4" w:space="0"/>
            </w:tcBorders>
          </w:tcPr>
          <w:p w14:paraId="75D3BF61">
            <w:pPr>
              <w:spacing w:line="360" w:lineRule="auto"/>
              <w:rPr>
                <w:rFonts w:eastAsia="楷体_GB2312"/>
                <w:color w:val="000000"/>
                <w:sz w:val="18"/>
              </w:rPr>
            </w:pPr>
            <w:r>
              <w:rPr>
                <w:rFonts w:eastAsia="楷体_GB2312"/>
                <w:color w:val="000000"/>
                <w:sz w:val="18"/>
              </w:rPr>
              <w:t>支付代理机构</w:t>
            </w:r>
          </w:p>
        </w:tc>
        <w:tc>
          <w:tcPr>
            <w:tcW w:w="2551" w:type="dxa"/>
            <w:tcBorders>
              <w:top w:val="single" w:color="auto" w:sz="4" w:space="0"/>
              <w:left w:val="single" w:color="auto" w:sz="4" w:space="0"/>
              <w:bottom w:val="single" w:color="auto" w:sz="4" w:space="0"/>
              <w:right w:val="single" w:color="auto" w:sz="4" w:space="0"/>
            </w:tcBorders>
          </w:tcPr>
          <w:p w14:paraId="5761ECBD">
            <w:pPr>
              <w:spacing w:line="360" w:lineRule="auto"/>
              <w:rPr>
                <w:rFonts w:eastAsia="楷体_GB2312"/>
                <w:color w:val="000000"/>
                <w:sz w:val="18"/>
              </w:rPr>
            </w:pPr>
          </w:p>
        </w:tc>
        <w:tc>
          <w:tcPr>
            <w:tcW w:w="2735" w:type="dxa"/>
            <w:tcBorders>
              <w:top w:val="single" w:color="auto" w:sz="4" w:space="0"/>
              <w:left w:val="single" w:color="auto" w:sz="4" w:space="0"/>
              <w:bottom w:val="single" w:color="auto" w:sz="4" w:space="0"/>
              <w:right w:val="single" w:color="auto" w:sz="4" w:space="0"/>
            </w:tcBorders>
          </w:tcPr>
          <w:p w14:paraId="62C3FC47">
            <w:pPr>
              <w:spacing w:line="360" w:lineRule="auto"/>
              <w:rPr>
                <w:rFonts w:eastAsia="楷体_GB2312"/>
                <w:color w:val="000000"/>
                <w:sz w:val="18"/>
              </w:rPr>
            </w:pPr>
          </w:p>
        </w:tc>
        <w:tc>
          <w:tcPr>
            <w:tcW w:w="1704" w:type="dxa"/>
            <w:tcBorders>
              <w:top w:val="single" w:color="auto" w:sz="4" w:space="0"/>
              <w:left w:val="single" w:color="auto" w:sz="4" w:space="0"/>
              <w:bottom w:val="single" w:color="auto" w:sz="4" w:space="0"/>
            </w:tcBorders>
          </w:tcPr>
          <w:p w14:paraId="13B22608">
            <w:pPr>
              <w:spacing w:line="360" w:lineRule="auto"/>
              <w:rPr>
                <w:rFonts w:eastAsia="楷体_GB2312"/>
                <w:color w:val="000000"/>
                <w:sz w:val="18"/>
              </w:rPr>
            </w:pPr>
          </w:p>
        </w:tc>
      </w:tr>
    </w:tbl>
    <w:p w14:paraId="59D77BA1">
      <w:pPr>
        <w:spacing w:line="360" w:lineRule="auto"/>
        <w:rPr>
          <w:rFonts w:eastAsia="楷体_GB2312"/>
          <w:color w:val="000000"/>
        </w:rPr>
      </w:pPr>
    </w:p>
    <w:p w14:paraId="3AAEB89D">
      <w:pPr>
        <w:spacing w:line="360" w:lineRule="auto"/>
        <w:rPr>
          <w:rFonts w:eastAsia="楷体_GB2312"/>
          <w:color w:val="000000"/>
        </w:rPr>
      </w:pPr>
    </w:p>
    <w:p w14:paraId="5BED32CE">
      <w:pPr>
        <w:spacing w:line="360" w:lineRule="auto"/>
        <w:rPr>
          <w:rFonts w:eastAsia="楷体_GB2312"/>
          <w:color w:val="000000"/>
        </w:rPr>
      </w:pPr>
    </w:p>
    <w:p w14:paraId="35C2E586">
      <w:pPr>
        <w:spacing w:line="360" w:lineRule="auto"/>
        <w:rPr>
          <w:rFonts w:eastAsia="楷体_GB2312"/>
          <w:color w:val="000000"/>
        </w:rPr>
      </w:pPr>
      <w:r>
        <w:rPr>
          <w:rFonts w:eastAsia="楷体_GB2312"/>
          <w:color w:val="000000"/>
        </w:rPr>
        <w:br w:type="column"/>
      </w:r>
    </w:p>
    <w:tbl>
      <w:tblPr>
        <w:tblStyle w:val="28"/>
        <w:tblW w:w="9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4"/>
        <w:gridCol w:w="1644"/>
        <w:gridCol w:w="1644"/>
        <w:gridCol w:w="2440"/>
      </w:tblGrid>
      <w:tr w14:paraId="4BB8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5" w:type="dxa"/>
            <w:gridSpan w:val="5"/>
          </w:tcPr>
          <w:p w14:paraId="10EC139C">
            <w:pPr>
              <w:spacing w:before="156" w:after="156"/>
              <w:jc w:val="center"/>
              <w:rPr>
                <w:rFonts w:eastAsia="楷体_GB2312"/>
                <w:b/>
                <w:color w:val="000000"/>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7F02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5" w:type="dxa"/>
            <w:gridSpan w:val="5"/>
          </w:tcPr>
          <w:p w14:paraId="11FDB8B0">
            <w:pPr>
              <w:rPr>
                <w:rFonts w:eastAsia="楷体_GB2312"/>
                <w:b/>
                <w:color w:val="000000"/>
              </w:rPr>
            </w:pPr>
            <w:r>
              <w:rPr>
                <w:rFonts w:eastAsia="楷体_GB2312"/>
                <w:b/>
                <w:color w:val="000000"/>
              </w:rPr>
              <w:t>二、信托账户和分账户本期核算概况：</w:t>
            </w:r>
          </w:p>
          <w:p w14:paraId="4DA2F0F5">
            <w:pPr>
              <w:pStyle w:val="144"/>
              <w:ind w:left="420" w:firstLine="0" w:firstLineChars="0"/>
              <w:rPr>
                <w:rFonts w:eastAsia="楷体_GB2312"/>
                <w:b/>
                <w:color w:val="000000"/>
              </w:rPr>
            </w:pPr>
          </w:p>
        </w:tc>
      </w:tr>
      <w:tr w14:paraId="671C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28FD4103">
            <w:pPr>
              <w:spacing w:before="156" w:after="156"/>
              <w:rPr>
                <w:rFonts w:eastAsia="楷体_GB2312"/>
                <w:color w:val="000000"/>
              </w:rPr>
            </w:pPr>
            <w:r>
              <w:rPr>
                <w:rFonts w:eastAsia="楷体_GB2312"/>
                <w:color w:val="000000"/>
              </w:rPr>
              <w:t>账户名称</w:t>
            </w:r>
          </w:p>
        </w:tc>
        <w:tc>
          <w:tcPr>
            <w:tcW w:w="1644" w:type="dxa"/>
          </w:tcPr>
          <w:p w14:paraId="16B3D3C1">
            <w:pPr>
              <w:spacing w:before="156" w:after="156"/>
              <w:rPr>
                <w:rFonts w:eastAsia="楷体_GB2312"/>
                <w:b/>
                <w:color w:val="000000"/>
              </w:rPr>
            </w:pPr>
            <w:r>
              <w:rPr>
                <w:rFonts w:eastAsia="楷体_GB2312"/>
                <w:color w:val="000000"/>
                <w:kern w:val="0"/>
                <w:szCs w:val="21"/>
              </w:rPr>
              <w:t>期初余额</w:t>
            </w:r>
          </w:p>
        </w:tc>
        <w:tc>
          <w:tcPr>
            <w:tcW w:w="1644" w:type="dxa"/>
          </w:tcPr>
          <w:p w14:paraId="0BCF476B">
            <w:pPr>
              <w:spacing w:before="156" w:after="156"/>
              <w:rPr>
                <w:rFonts w:eastAsia="楷体_GB2312"/>
                <w:b/>
                <w:color w:val="000000"/>
              </w:rPr>
            </w:pPr>
            <w:r>
              <w:rPr>
                <w:rFonts w:eastAsia="楷体_GB2312"/>
                <w:color w:val="000000"/>
                <w:kern w:val="0"/>
                <w:szCs w:val="21"/>
              </w:rPr>
              <w:t>总信托账户本期现金流出总额/分账户本期支付金额</w:t>
            </w:r>
          </w:p>
        </w:tc>
        <w:tc>
          <w:tcPr>
            <w:tcW w:w="1644" w:type="dxa"/>
          </w:tcPr>
          <w:p w14:paraId="29F37F1B">
            <w:pPr>
              <w:spacing w:before="156" w:after="156"/>
              <w:rPr>
                <w:rFonts w:eastAsia="楷体_GB2312"/>
                <w:b/>
                <w:color w:val="000000"/>
              </w:rPr>
            </w:pPr>
            <w:r>
              <w:rPr>
                <w:rFonts w:eastAsia="楷体_GB2312"/>
                <w:color w:val="000000"/>
                <w:kern w:val="0"/>
                <w:szCs w:val="21"/>
              </w:rPr>
              <w:t>总信托账户本期现金流入总额/分账户本期收入金额</w:t>
            </w:r>
          </w:p>
        </w:tc>
        <w:tc>
          <w:tcPr>
            <w:tcW w:w="2440" w:type="dxa"/>
          </w:tcPr>
          <w:p w14:paraId="7D60013A">
            <w:pPr>
              <w:spacing w:before="156" w:after="156"/>
              <w:rPr>
                <w:rFonts w:eastAsia="楷体_GB2312"/>
                <w:b/>
                <w:color w:val="000000"/>
              </w:rPr>
            </w:pPr>
            <w:r>
              <w:rPr>
                <w:rFonts w:eastAsia="楷体_GB2312"/>
                <w:color w:val="000000"/>
                <w:kern w:val="0"/>
                <w:szCs w:val="21"/>
              </w:rPr>
              <w:t>期末余额</w:t>
            </w:r>
          </w:p>
        </w:tc>
      </w:tr>
      <w:tr w14:paraId="5E1B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393CF21C">
            <w:pPr>
              <w:spacing w:before="156" w:after="156"/>
              <w:rPr>
                <w:rFonts w:eastAsia="楷体_GB2312"/>
                <w:color w:val="000000"/>
                <w:kern w:val="0"/>
                <w:szCs w:val="21"/>
              </w:rPr>
            </w:pPr>
            <w:r>
              <w:rPr>
                <w:rFonts w:eastAsia="楷体_GB2312"/>
                <w:color w:val="000000"/>
                <w:kern w:val="0"/>
                <w:szCs w:val="21"/>
              </w:rPr>
              <w:t>信托账户</w:t>
            </w:r>
          </w:p>
        </w:tc>
        <w:tc>
          <w:tcPr>
            <w:tcW w:w="1644" w:type="dxa"/>
          </w:tcPr>
          <w:p w14:paraId="7220F2A3">
            <w:pPr>
              <w:spacing w:before="156" w:after="156"/>
              <w:rPr>
                <w:rFonts w:eastAsia="楷体_GB2312"/>
                <w:b/>
                <w:color w:val="000000"/>
              </w:rPr>
            </w:pPr>
          </w:p>
        </w:tc>
        <w:tc>
          <w:tcPr>
            <w:tcW w:w="1644" w:type="dxa"/>
          </w:tcPr>
          <w:p w14:paraId="75094894">
            <w:pPr>
              <w:spacing w:before="156" w:after="156"/>
              <w:rPr>
                <w:rFonts w:eastAsia="楷体_GB2312"/>
                <w:b/>
                <w:color w:val="000000"/>
              </w:rPr>
            </w:pPr>
          </w:p>
        </w:tc>
        <w:tc>
          <w:tcPr>
            <w:tcW w:w="1644" w:type="dxa"/>
          </w:tcPr>
          <w:p w14:paraId="00324F3B">
            <w:pPr>
              <w:spacing w:before="156" w:after="156"/>
              <w:rPr>
                <w:rFonts w:eastAsia="楷体_GB2312"/>
                <w:b/>
                <w:color w:val="000000"/>
              </w:rPr>
            </w:pPr>
          </w:p>
        </w:tc>
        <w:tc>
          <w:tcPr>
            <w:tcW w:w="2440" w:type="dxa"/>
          </w:tcPr>
          <w:p w14:paraId="2516287B">
            <w:pPr>
              <w:spacing w:before="156" w:after="156"/>
              <w:rPr>
                <w:rFonts w:eastAsia="楷体_GB2312"/>
                <w:b/>
                <w:color w:val="000000"/>
              </w:rPr>
            </w:pPr>
          </w:p>
        </w:tc>
      </w:tr>
      <w:tr w14:paraId="7F25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6B2CEF78">
            <w:pPr>
              <w:spacing w:before="156" w:after="156"/>
              <w:rPr>
                <w:rFonts w:eastAsia="楷体_GB2312"/>
                <w:color w:val="000000"/>
                <w:kern w:val="0"/>
                <w:szCs w:val="21"/>
              </w:rPr>
            </w:pPr>
            <w:r>
              <w:rPr>
                <w:rFonts w:eastAsia="楷体_GB2312"/>
                <w:color w:val="000000"/>
                <w:kern w:val="0"/>
                <w:szCs w:val="21"/>
              </w:rPr>
              <w:t>1-信托收款账户</w:t>
            </w:r>
          </w:p>
        </w:tc>
        <w:tc>
          <w:tcPr>
            <w:tcW w:w="1644" w:type="dxa"/>
          </w:tcPr>
          <w:p w14:paraId="35EBC655">
            <w:pPr>
              <w:spacing w:before="156" w:after="156"/>
              <w:rPr>
                <w:rFonts w:eastAsia="楷体_GB2312"/>
                <w:b/>
                <w:color w:val="000000"/>
              </w:rPr>
            </w:pPr>
          </w:p>
        </w:tc>
        <w:tc>
          <w:tcPr>
            <w:tcW w:w="1644" w:type="dxa"/>
          </w:tcPr>
          <w:p w14:paraId="3124688C">
            <w:pPr>
              <w:spacing w:before="156" w:after="156"/>
              <w:rPr>
                <w:rFonts w:eastAsia="楷体_GB2312"/>
                <w:b/>
                <w:color w:val="000000"/>
              </w:rPr>
            </w:pPr>
          </w:p>
        </w:tc>
        <w:tc>
          <w:tcPr>
            <w:tcW w:w="1644" w:type="dxa"/>
          </w:tcPr>
          <w:p w14:paraId="5CCB8924">
            <w:pPr>
              <w:spacing w:before="156" w:after="156"/>
              <w:rPr>
                <w:rFonts w:eastAsia="楷体_GB2312"/>
                <w:b/>
                <w:color w:val="000000"/>
              </w:rPr>
            </w:pPr>
          </w:p>
        </w:tc>
        <w:tc>
          <w:tcPr>
            <w:tcW w:w="2440" w:type="dxa"/>
          </w:tcPr>
          <w:p w14:paraId="07591275">
            <w:pPr>
              <w:spacing w:before="156" w:after="156"/>
              <w:rPr>
                <w:rFonts w:eastAsia="楷体_GB2312"/>
                <w:b/>
                <w:color w:val="000000"/>
              </w:rPr>
            </w:pPr>
          </w:p>
        </w:tc>
      </w:tr>
      <w:tr w14:paraId="6D77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674E5E2C">
            <w:pPr>
              <w:spacing w:before="156" w:after="156"/>
              <w:rPr>
                <w:rFonts w:eastAsia="楷体_GB2312"/>
                <w:color w:val="000000"/>
                <w:kern w:val="0"/>
                <w:szCs w:val="21"/>
              </w:rPr>
            </w:pPr>
            <w:r>
              <w:rPr>
                <w:rFonts w:eastAsia="楷体_GB2312"/>
                <w:color w:val="000000"/>
                <w:kern w:val="0"/>
                <w:szCs w:val="21"/>
              </w:rPr>
              <w:t>2-信托付款账户</w:t>
            </w:r>
          </w:p>
        </w:tc>
        <w:tc>
          <w:tcPr>
            <w:tcW w:w="1644" w:type="dxa"/>
          </w:tcPr>
          <w:p w14:paraId="447FAE9A">
            <w:pPr>
              <w:spacing w:before="156" w:after="156"/>
              <w:rPr>
                <w:rFonts w:eastAsia="楷体_GB2312"/>
                <w:b/>
                <w:color w:val="000000"/>
              </w:rPr>
            </w:pPr>
          </w:p>
        </w:tc>
        <w:tc>
          <w:tcPr>
            <w:tcW w:w="1644" w:type="dxa"/>
          </w:tcPr>
          <w:p w14:paraId="715A2402">
            <w:pPr>
              <w:spacing w:before="156" w:after="156"/>
              <w:rPr>
                <w:rFonts w:eastAsia="楷体_GB2312"/>
                <w:b/>
                <w:color w:val="000000"/>
              </w:rPr>
            </w:pPr>
          </w:p>
        </w:tc>
        <w:tc>
          <w:tcPr>
            <w:tcW w:w="1644" w:type="dxa"/>
          </w:tcPr>
          <w:p w14:paraId="2A24474E">
            <w:pPr>
              <w:spacing w:before="156" w:after="156"/>
              <w:rPr>
                <w:rFonts w:eastAsia="楷体_GB2312"/>
                <w:b/>
                <w:color w:val="000000"/>
              </w:rPr>
            </w:pPr>
          </w:p>
        </w:tc>
        <w:tc>
          <w:tcPr>
            <w:tcW w:w="2440" w:type="dxa"/>
          </w:tcPr>
          <w:p w14:paraId="4CD04870">
            <w:pPr>
              <w:spacing w:before="156" w:after="156"/>
              <w:rPr>
                <w:rFonts w:eastAsia="楷体_GB2312"/>
                <w:b/>
                <w:color w:val="000000"/>
              </w:rPr>
            </w:pPr>
          </w:p>
        </w:tc>
      </w:tr>
      <w:tr w14:paraId="6B08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271A54CC">
            <w:pPr>
              <w:spacing w:before="156" w:after="156"/>
              <w:rPr>
                <w:rFonts w:eastAsia="楷体_GB2312"/>
                <w:color w:val="000000"/>
                <w:kern w:val="0"/>
                <w:szCs w:val="21"/>
              </w:rPr>
            </w:pPr>
            <w:r>
              <w:rPr>
                <w:rFonts w:eastAsia="楷体_GB2312"/>
                <w:color w:val="000000"/>
                <w:kern w:val="0"/>
                <w:szCs w:val="21"/>
              </w:rPr>
              <w:t>(1)信托分配（税收）账户</w:t>
            </w:r>
          </w:p>
        </w:tc>
        <w:tc>
          <w:tcPr>
            <w:tcW w:w="1644" w:type="dxa"/>
          </w:tcPr>
          <w:p w14:paraId="3833CB16">
            <w:pPr>
              <w:spacing w:before="156" w:after="156"/>
              <w:rPr>
                <w:rFonts w:eastAsia="楷体_GB2312"/>
                <w:b/>
                <w:color w:val="000000"/>
              </w:rPr>
            </w:pPr>
          </w:p>
        </w:tc>
        <w:tc>
          <w:tcPr>
            <w:tcW w:w="1644" w:type="dxa"/>
          </w:tcPr>
          <w:p w14:paraId="3602CE94">
            <w:pPr>
              <w:spacing w:before="156" w:after="156"/>
              <w:rPr>
                <w:rFonts w:eastAsia="楷体_GB2312"/>
                <w:b/>
                <w:color w:val="000000"/>
              </w:rPr>
            </w:pPr>
          </w:p>
        </w:tc>
        <w:tc>
          <w:tcPr>
            <w:tcW w:w="1644" w:type="dxa"/>
          </w:tcPr>
          <w:p w14:paraId="24BBD776">
            <w:pPr>
              <w:spacing w:before="156" w:after="156"/>
              <w:rPr>
                <w:rFonts w:eastAsia="楷体_GB2312"/>
                <w:b/>
                <w:color w:val="000000"/>
              </w:rPr>
            </w:pPr>
          </w:p>
        </w:tc>
        <w:tc>
          <w:tcPr>
            <w:tcW w:w="2440" w:type="dxa"/>
          </w:tcPr>
          <w:p w14:paraId="55459F96">
            <w:pPr>
              <w:spacing w:before="156" w:after="156"/>
              <w:rPr>
                <w:rFonts w:eastAsia="楷体_GB2312"/>
                <w:b/>
                <w:color w:val="000000"/>
              </w:rPr>
            </w:pPr>
          </w:p>
        </w:tc>
      </w:tr>
      <w:tr w14:paraId="1A8E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2F48F701">
            <w:pPr>
              <w:spacing w:before="156" w:after="156"/>
              <w:rPr>
                <w:rFonts w:eastAsia="楷体_GB2312"/>
                <w:color w:val="000000"/>
                <w:kern w:val="0"/>
                <w:szCs w:val="21"/>
              </w:rPr>
            </w:pPr>
            <w:r>
              <w:rPr>
                <w:rFonts w:eastAsia="楷体_GB2312"/>
                <w:color w:val="000000"/>
                <w:kern w:val="0"/>
                <w:szCs w:val="21"/>
              </w:rPr>
              <w:t>(2)信托分配（费用和开支）账户</w:t>
            </w:r>
          </w:p>
        </w:tc>
        <w:tc>
          <w:tcPr>
            <w:tcW w:w="1644" w:type="dxa"/>
          </w:tcPr>
          <w:p w14:paraId="1D389B23">
            <w:pPr>
              <w:spacing w:before="156" w:after="156"/>
              <w:rPr>
                <w:rFonts w:eastAsia="楷体_GB2312"/>
                <w:b/>
                <w:color w:val="000000"/>
              </w:rPr>
            </w:pPr>
          </w:p>
        </w:tc>
        <w:tc>
          <w:tcPr>
            <w:tcW w:w="1644" w:type="dxa"/>
          </w:tcPr>
          <w:p w14:paraId="1FA442EB">
            <w:pPr>
              <w:spacing w:before="156" w:after="156"/>
              <w:rPr>
                <w:rFonts w:eastAsia="楷体_GB2312"/>
                <w:b/>
                <w:color w:val="000000"/>
              </w:rPr>
            </w:pPr>
          </w:p>
        </w:tc>
        <w:tc>
          <w:tcPr>
            <w:tcW w:w="1644" w:type="dxa"/>
          </w:tcPr>
          <w:p w14:paraId="7BA7E37F">
            <w:pPr>
              <w:spacing w:before="156" w:after="156"/>
              <w:rPr>
                <w:rFonts w:eastAsia="楷体_GB2312"/>
                <w:b/>
                <w:color w:val="000000"/>
              </w:rPr>
            </w:pPr>
          </w:p>
        </w:tc>
        <w:tc>
          <w:tcPr>
            <w:tcW w:w="2440" w:type="dxa"/>
          </w:tcPr>
          <w:p w14:paraId="72CF6CD4">
            <w:pPr>
              <w:spacing w:before="156" w:after="156"/>
              <w:rPr>
                <w:rFonts w:eastAsia="楷体_GB2312"/>
                <w:b/>
                <w:color w:val="000000"/>
              </w:rPr>
            </w:pPr>
          </w:p>
        </w:tc>
      </w:tr>
      <w:tr w14:paraId="4AA08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7ABB9843">
            <w:pPr>
              <w:spacing w:before="156" w:after="156"/>
              <w:rPr>
                <w:rFonts w:eastAsia="楷体_GB2312"/>
                <w:color w:val="000000"/>
                <w:kern w:val="0"/>
                <w:szCs w:val="21"/>
              </w:rPr>
            </w:pPr>
            <w:r>
              <w:rPr>
                <w:rFonts w:eastAsia="楷体_GB2312"/>
                <w:color w:val="000000"/>
                <w:kern w:val="0"/>
                <w:szCs w:val="21"/>
              </w:rPr>
              <w:t>(3)信托分配（证券）账户</w:t>
            </w:r>
          </w:p>
        </w:tc>
        <w:tc>
          <w:tcPr>
            <w:tcW w:w="1644" w:type="dxa"/>
          </w:tcPr>
          <w:p w14:paraId="09CD2E17">
            <w:pPr>
              <w:spacing w:before="156" w:after="156"/>
              <w:rPr>
                <w:rFonts w:eastAsia="楷体_GB2312"/>
                <w:b/>
                <w:color w:val="000000"/>
              </w:rPr>
            </w:pPr>
          </w:p>
        </w:tc>
        <w:tc>
          <w:tcPr>
            <w:tcW w:w="1644" w:type="dxa"/>
          </w:tcPr>
          <w:p w14:paraId="1F6DE3A0">
            <w:pPr>
              <w:spacing w:before="156" w:after="156"/>
              <w:rPr>
                <w:rFonts w:eastAsia="楷体_GB2312"/>
                <w:b/>
                <w:color w:val="000000"/>
              </w:rPr>
            </w:pPr>
          </w:p>
        </w:tc>
        <w:tc>
          <w:tcPr>
            <w:tcW w:w="1644" w:type="dxa"/>
          </w:tcPr>
          <w:p w14:paraId="55C23E9A">
            <w:pPr>
              <w:spacing w:before="156" w:after="156"/>
              <w:rPr>
                <w:rFonts w:eastAsia="楷体_GB2312"/>
                <w:b/>
                <w:color w:val="000000"/>
              </w:rPr>
            </w:pPr>
          </w:p>
        </w:tc>
        <w:tc>
          <w:tcPr>
            <w:tcW w:w="2440" w:type="dxa"/>
          </w:tcPr>
          <w:p w14:paraId="17E86CBE">
            <w:pPr>
              <w:spacing w:before="156" w:after="156"/>
              <w:rPr>
                <w:rFonts w:eastAsia="楷体_GB2312"/>
                <w:b/>
                <w:color w:val="000000"/>
              </w:rPr>
            </w:pPr>
          </w:p>
        </w:tc>
      </w:tr>
      <w:tr w14:paraId="117B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0AEEF8F9">
            <w:pPr>
              <w:spacing w:before="156" w:after="156"/>
              <w:rPr>
                <w:rFonts w:eastAsia="楷体_GB2312"/>
                <w:color w:val="000000"/>
                <w:kern w:val="0"/>
                <w:szCs w:val="21"/>
              </w:rPr>
            </w:pPr>
            <w:r>
              <w:rPr>
                <w:rFonts w:eastAsia="楷体_GB2312"/>
                <w:color w:val="000000"/>
                <w:kern w:val="0"/>
                <w:szCs w:val="21"/>
              </w:rPr>
              <w:t>3-信托（流动性）储备账户</w:t>
            </w:r>
          </w:p>
        </w:tc>
        <w:tc>
          <w:tcPr>
            <w:tcW w:w="1644" w:type="dxa"/>
          </w:tcPr>
          <w:p w14:paraId="0CD21378">
            <w:pPr>
              <w:spacing w:before="156" w:after="156"/>
              <w:rPr>
                <w:rFonts w:eastAsia="楷体_GB2312"/>
                <w:b/>
                <w:color w:val="000000"/>
              </w:rPr>
            </w:pPr>
          </w:p>
        </w:tc>
        <w:tc>
          <w:tcPr>
            <w:tcW w:w="1644" w:type="dxa"/>
          </w:tcPr>
          <w:p w14:paraId="7241A01B">
            <w:pPr>
              <w:spacing w:before="156" w:after="156"/>
              <w:rPr>
                <w:rFonts w:eastAsia="楷体_GB2312"/>
                <w:b/>
                <w:color w:val="000000"/>
              </w:rPr>
            </w:pPr>
          </w:p>
        </w:tc>
        <w:tc>
          <w:tcPr>
            <w:tcW w:w="1644" w:type="dxa"/>
          </w:tcPr>
          <w:p w14:paraId="5AA830E1">
            <w:pPr>
              <w:spacing w:before="156" w:after="156"/>
              <w:rPr>
                <w:rFonts w:eastAsia="楷体_GB2312"/>
                <w:b/>
                <w:color w:val="000000"/>
              </w:rPr>
            </w:pPr>
          </w:p>
        </w:tc>
        <w:tc>
          <w:tcPr>
            <w:tcW w:w="2440" w:type="dxa"/>
          </w:tcPr>
          <w:p w14:paraId="0168185C">
            <w:pPr>
              <w:spacing w:before="156" w:after="156"/>
              <w:rPr>
                <w:rFonts w:eastAsia="楷体_GB2312"/>
                <w:b/>
                <w:color w:val="000000"/>
              </w:rPr>
            </w:pPr>
          </w:p>
        </w:tc>
      </w:tr>
      <w:tr w14:paraId="685D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3EB1CCD7">
            <w:pPr>
              <w:spacing w:before="156" w:after="156"/>
              <w:rPr>
                <w:rFonts w:eastAsia="楷体_GB2312"/>
                <w:color w:val="000000"/>
                <w:kern w:val="0"/>
                <w:szCs w:val="21"/>
              </w:rPr>
            </w:pPr>
            <w:r>
              <w:rPr>
                <w:rFonts w:eastAsia="楷体_GB2312"/>
                <w:color w:val="000000"/>
                <w:kern w:val="0"/>
                <w:szCs w:val="21"/>
              </w:rPr>
              <w:t>4-处置费用账户</w:t>
            </w:r>
          </w:p>
        </w:tc>
        <w:tc>
          <w:tcPr>
            <w:tcW w:w="1644" w:type="dxa"/>
          </w:tcPr>
          <w:p w14:paraId="460C2CA2">
            <w:pPr>
              <w:spacing w:before="156" w:after="156"/>
              <w:rPr>
                <w:rFonts w:eastAsia="楷体_GB2312"/>
                <w:b/>
                <w:color w:val="000000"/>
              </w:rPr>
            </w:pPr>
          </w:p>
        </w:tc>
        <w:tc>
          <w:tcPr>
            <w:tcW w:w="1644" w:type="dxa"/>
          </w:tcPr>
          <w:p w14:paraId="5C1920CF">
            <w:pPr>
              <w:spacing w:before="156" w:after="156"/>
              <w:rPr>
                <w:rFonts w:eastAsia="楷体_GB2312"/>
                <w:b/>
                <w:color w:val="000000"/>
              </w:rPr>
            </w:pPr>
          </w:p>
        </w:tc>
        <w:tc>
          <w:tcPr>
            <w:tcW w:w="1644" w:type="dxa"/>
          </w:tcPr>
          <w:p w14:paraId="4B0C9CDC">
            <w:pPr>
              <w:spacing w:before="156" w:after="156"/>
              <w:rPr>
                <w:rFonts w:eastAsia="楷体_GB2312"/>
                <w:b/>
                <w:color w:val="000000"/>
              </w:rPr>
            </w:pPr>
          </w:p>
        </w:tc>
        <w:tc>
          <w:tcPr>
            <w:tcW w:w="2440" w:type="dxa"/>
          </w:tcPr>
          <w:p w14:paraId="3DEA80D5">
            <w:pPr>
              <w:spacing w:before="156" w:after="156"/>
              <w:rPr>
                <w:rFonts w:eastAsia="楷体_GB2312"/>
                <w:b/>
                <w:color w:val="000000"/>
              </w:rPr>
            </w:pPr>
          </w:p>
        </w:tc>
      </w:tr>
    </w:tbl>
    <w:p w14:paraId="5E8E377F">
      <w:pPr>
        <w:spacing w:line="360" w:lineRule="auto"/>
        <w:rPr>
          <w:rFonts w:eastAsia="楷体_GB2312"/>
          <w:b/>
          <w:bCs/>
          <w:i/>
          <w:iCs/>
          <w:color w:val="FF0000"/>
        </w:rPr>
      </w:pPr>
      <w:r>
        <w:rPr>
          <w:rFonts w:eastAsia="楷体_GB2312"/>
          <w:b/>
          <w:bCs/>
          <w:i/>
          <w:iCs/>
          <w:color w:val="FF0000"/>
        </w:rPr>
        <w:t>【注：根据具体项目的信托账户设置进行调整。】</w:t>
      </w:r>
    </w:p>
    <w:p w14:paraId="10F3E0BA">
      <w:pPr>
        <w:spacing w:line="360" w:lineRule="auto"/>
        <w:rPr>
          <w:rFonts w:eastAsia="楷体_GB2312"/>
          <w:color w:val="000000"/>
        </w:rPr>
      </w:pPr>
    </w:p>
    <w:p w14:paraId="7700EE06">
      <w:pPr>
        <w:widowControl/>
        <w:jc w:val="left"/>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5670"/>
      </w:tblGrid>
      <w:tr w14:paraId="2E89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2"/>
            <w:tcBorders>
              <w:bottom w:val="single" w:color="auto" w:sz="4" w:space="0"/>
            </w:tcBorders>
          </w:tcPr>
          <w:p w14:paraId="79B84DB1">
            <w:pPr>
              <w:spacing w:line="360" w:lineRule="auto"/>
              <w:jc w:val="center"/>
              <w:rPr>
                <w:rFonts w:eastAsia="楷体_GB2312"/>
                <w:b/>
                <w:color w:val="000000"/>
              </w:rPr>
            </w:pPr>
            <w:r>
              <w:rPr>
                <w:rFonts w:eastAsia="楷体_GB2312"/>
                <w:b/>
                <w:color w:val="000000"/>
                <w:sz w:val="28"/>
              </w:rPr>
              <w:t>信托名称期间/年度受托机构报告</w:t>
            </w:r>
          </w:p>
        </w:tc>
      </w:tr>
      <w:tr w14:paraId="78B0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2"/>
            <w:tcBorders>
              <w:top w:val="single" w:color="auto" w:sz="4" w:space="0"/>
              <w:bottom w:val="nil"/>
            </w:tcBorders>
          </w:tcPr>
          <w:p w14:paraId="6D013D31">
            <w:pPr>
              <w:spacing w:line="360" w:lineRule="auto"/>
              <w:rPr>
                <w:rFonts w:eastAsia="楷体_GB2312"/>
                <w:b/>
                <w:color w:val="000000"/>
              </w:rPr>
            </w:pPr>
            <w:r>
              <w:rPr>
                <w:rFonts w:eastAsia="楷体_GB2312"/>
                <w:b/>
                <w:color w:val="000000"/>
              </w:rPr>
              <w:t>三、资产支持证券概况</w:t>
            </w:r>
          </w:p>
          <w:p w14:paraId="63957B88">
            <w:pPr>
              <w:spacing w:line="360" w:lineRule="auto"/>
              <w:rPr>
                <w:rFonts w:eastAsia="楷体_GB2312"/>
                <w:b/>
                <w:color w:val="000000"/>
              </w:rPr>
            </w:pPr>
            <w:r>
              <w:rPr>
                <w:rFonts w:eastAsia="楷体_GB2312"/>
                <w:b/>
                <w:color w:val="000000"/>
              </w:rPr>
              <w:t>（一）资产支持证券日期概况：</w:t>
            </w:r>
          </w:p>
        </w:tc>
      </w:tr>
      <w:tr w14:paraId="6FAA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39252162">
            <w:pPr>
              <w:spacing w:line="360" w:lineRule="auto"/>
              <w:rPr>
                <w:rFonts w:eastAsia="楷体_GB2312"/>
                <w:color w:val="000000"/>
                <w:sz w:val="18"/>
                <w:szCs w:val="18"/>
              </w:rPr>
            </w:pPr>
            <w:r>
              <w:rPr>
                <w:rFonts w:eastAsia="楷体_GB2312"/>
                <w:color w:val="000000"/>
                <w:sz w:val="18"/>
                <w:szCs w:val="18"/>
              </w:rPr>
              <w:t>信托生效日</w:t>
            </w:r>
          </w:p>
        </w:tc>
        <w:tc>
          <w:tcPr>
            <w:tcW w:w="5670" w:type="dxa"/>
            <w:tcBorders>
              <w:top w:val="single" w:color="auto" w:sz="4" w:space="0"/>
              <w:left w:val="single" w:color="auto" w:sz="4" w:space="0"/>
              <w:right w:val="single" w:color="auto" w:sz="4" w:space="0"/>
            </w:tcBorders>
          </w:tcPr>
          <w:p w14:paraId="607E7DBF">
            <w:pPr>
              <w:spacing w:line="360" w:lineRule="auto"/>
              <w:jc w:val="right"/>
              <w:rPr>
                <w:rFonts w:eastAsia="楷体_GB2312"/>
                <w:color w:val="000000"/>
                <w:sz w:val="18"/>
                <w:szCs w:val="18"/>
              </w:rPr>
            </w:pPr>
          </w:p>
        </w:tc>
      </w:tr>
      <w:tr w14:paraId="6D78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0DD48D48">
            <w:pPr>
              <w:spacing w:line="360" w:lineRule="auto"/>
              <w:rPr>
                <w:rFonts w:eastAsia="楷体_GB2312"/>
                <w:color w:val="000000"/>
                <w:sz w:val="18"/>
                <w:szCs w:val="18"/>
              </w:rPr>
            </w:pPr>
            <w:r>
              <w:rPr>
                <w:rFonts w:eastAsia="楷体_GB2312"/>
                <w:color w:val="000000"/>
                <w:sz w:val="18"/>
                <w:szCs w:val="18"/>
              </w:rPr>
              <w:t>本期期初日</w:t>
            </w:r>
          </w:p>
        </w:tc>
        <w:tc>
          <w:tcPr>
            <w:tcW w:w="5670" w:type="dxa"/>
            <w:tcBorders>
              <w:top w:val="single" w:color="auto" w:sz="4" w:space="0"/>
              <w:left w:val="single" w:color="auto" w:sz="4" w:space="0"/>
              <w:right w:val="single" w:color="auto" w:sz="4" w:space="0"/>
            </w:tcBorders>
          </w:tcPr>
          <w:p w14:paraId="2E3CCC5D">
            <w:pPr>
              <w:spacing w:line="360" w:lineRule="auto"/>
              <w:ind w:left="-107" w:leftChars="-51"/>
              <w:jc w:val="right"/>
              <w:rPr>
                <w:rFonts w:eastAsia="楷体_GB2312"/>
                <w:color w:val="000000"/>
                <w:sz w:val="18"/>
                <w:szCs w:val="18"/>
              </w:rPr>
            </w:pPr>
          </w:p>
        </w:tc>
      </w:tr>
      <w:tr w14:paraId="24D7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4EF7805C">
            <w:pPr>
              <w:spacing w:line="360" w:lineRule="auto"/>
              <w:rPr>
                <w:rFonts w:eastAsia="楷体_GB2312"/>
                <w:color w:val="000000"/>
                <w:sz w:val="18"/>
                <w:szCs w:val="18"/>
              </w:rPr>
            </w:pPr>
            <w:r>
              <w:rPr>
                <w:rFonts w:eastAsia="楷体_GB2312"/>
                <w:color w:val="000000"/>
                <w:sz w:val="18"/>
                <w:szCs w:val="18"/>
              </w:rPr>
              <w:t>本期期末日</w:t>
            </w:r>
          </w:p>
        </w:tc>
        <w:tc>
          <w:tcPr>
            <w:tcW w:w="5670" w:type="dxa"/>
            <w:tcBorders>
              <w:top w:val="single" w:color="auto" w:sz="4" w:space="0"/>
              <w:left w:val="single" w:color="auto" w:sz="4" w:space="0"/>
              <w:right w:val="single" w:color="auto" w:sz="4" w:space="0"/>
            </w:tcBorders>
          </w:tcPr>
          <w:p w14:paraId="080437A5">
            <w:pPr>
              <w:spacing w:line="360" w:lineRule="auto"/>
              <w:jc w:val="right"/>
              <w:rPr>
                <w:rFonts w:eastAsia="楷体_GB2312"/>
                <w:color w:val="000000"/>
                <w:sz w:val="18"/>
                <w:szCs w:val="18"/>
              </w:rPr>
            </w:pPr>
          </w:p>
        </w:tc>
      </w:tr>
      <w:tr w14:paraId="32A9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77EA35BD">
            <w:pPr>
              <w:spacing w:line="360" w:lineRule="auto"/>
              <w:rPr>
                <w:rFonts w:eastAsia="楷体_GB2312"/>
                <w:color w:val="000000"/>
                <w:sz w:val="18"/>
                <w:szCs w:val="18"/>
              </w:rPr>
            </w:pPr>
            <w:r>
              <w:rPr>
                <w:rFonts w:eastAsia="楷体_GB2312"/>
                <w:color w:val="000000"/>
                <w:sz w:val="18"/>
                <w:szCs w:val="18"/>
              </w:rPr>
              <w:t>本期起息日</w:t>
            </w:r>
          </w:p>
        </w:tc>
        <w:tc>
          <w:tcPr>
            <w:tcW w:w="5670" w:type="dxa"/>
            <w:tcBorders>
              <w:top w:val="single" w:color="auto" w:sz="4" w:space="0"/>
              <w:left w:val="single" w:color="auto" w:sz="4" w:space="0"/>
              <w:right w:val="single" w:color="auto" w:sz="4" w:space="0"/>
            </w:tcBorders>
          </w:tcPr>
          <w:p w14:paraId="6F1C7B0F">
            <w:pPr>
              <w:spacing w:line="360" w:lineRule="auto"/>
              <w:jc w:val="right"/>
              <w:rPr>
                <w:rFonts w:eastAsia="楷体_GB2312"/>
                <w:color w:val="000000"/>
                <w:sz w:val="18"/>
                <w:szCs w:val="18"/>
              </w:rPr>
            </w:pPr>
          </w:p>
        </w:tc>
      </w:tr>
      <w:tr w14:paraId="5496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3A46E4A9">
            <w:pPr>
              <w:spacing w:line="360" w:lineRule="auto"/>
              <w:rPr>
                <w:rFonts w:eastAsia="楷体_GB2312"/>
                <w:color w:val="000000"/>
                <w:sz w:val="18"/>
                <w:szCs w:val="18"/>
              </w:rPr>
            </w:pPr>
            <w:r>
              <w:rPr>
                <w:rFonts w:eastAsia="楷体_GB2312"/>
                <w:color w:val="000000"/>
                <w:sz w:val="18"/>
                <w:szCs w:val="18"/>
              </w:rPr>
              <w:t>本期结息日</w:t>
            </w:r>
          </w:p>
        </w:tc>
        <w:tc>
          <w:tcPr>
            <w:tcW w:w="5670" w:type="dxa"/>
            <w:tcBorders>
              <w:top w:val="single" w:color="auto" w:sz="4" w:space="0"/>
              <w:left w:val="single" w:color="auto" w:sz="4" w:space="0"/>
              <w:right w:val="single" w:color="auto" w:sz="4" w:space="0"/>
            </w:tcBorders>
          </w:tcPr>
          <w:p w14:paraId="4CBEF3AC">
            <w:pPr>
              <w:spacing w:line="360" w:lineRule="auto"/>
              <w:jc w:val="right"/>
              <w:rPr>
                <w:rFonts w:eastAsia="楷体_GB2312"/>
                <w:color w:val="000000"/>
                <w:sz w:val="18"/>
                <w:szCs w:val="18"/>
              </w:rPr>
            </w:pPr>
          </w:p>
        </w:tc>
      </w:tr>
      <w:tr w14:paraId="578B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3BB0F2C6">
            <w:pPr>
              <w:spacing w:line="360" w:lineRule="auto"/>
              <w:rPr>
                <w:rFonts w:eastAsia="楷体_GB2312"/>
                <w:color w:val="000000"/>
                <w:sz w:val="18"/>
                <w:szCs w:val="18"/>
              </w:rPr>
            </w:pPr>
            <w:r>
              <w:rPr>
                <w:rFonts w:eastAsia="楷体_GB2312"/>
                <w:color w:val="000000"/>
                <w:sz w:val="18"/>
                <w:szCs w:val="18"/>
              </w:rPr>
              <w:t>本期支付日</w:t>
            </w:r>
          </w:p>
        </w:tc>
        <w:tc>
          <w:tcPr>
            <w:tcW w:w="5670" w:type="dxa"/>
            <w:tcBorders>
              <w:top w:val="single" w:color="auto" w:sz="4" w:space="0"/>
              <w:left w:val="single" w:color="auto" w:sz="4" w:space="0"/>
              <w:right w:val="single" w:color="auto" w:sz="4" w:space="0"/>
            </w:tcBorders>
          </w:tcPr>
          <w:p w14:paraId="0E5E6D13">
            <w:pPr>
              <w:spacing w:line="360" w:lineRule="auto"/>
              <w:jc w:val="right"/>
              <w:rPr>
                <w:rFonts w:eastAsia="楷体_GB2312"/>
                <w:color w:val="000000"/>
                <w:sz w:val="18"/>
                <w:szCs w:val="18"/>
              </w:rPr>
            </w:pPr>
          </w:p>
        </w:tc>
      </w:tr>
      <w:tr w14:paraId="3EE7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802" w:type="dxa"/>
            <w:tcBorders>
              <w:top w:val="single" w:color="auto" w:sz="4" w:space="0"/>
              <w:left w:val="single" w:color="auto" w:sz="4" w:space="0"/>
              <w:right w:val="single" w:color="auto" w:sz="4" w:space="0"/>
            </w:tcBorders>
          </w:tcPr>
          <w:p w14:paraId="1192DB7D">
            <w:pPr>
              <w:spacing w:line="360" w:lineRule="auto"/>
              <w:rPr>
                <w:rFonts w:eastAsia="楷体_GB2312"/>
                <w:color w:val="000000"/>
                <w:sz w:val="18"/>
                <w:szCs w:val="18"/>
              </w:rPr>
            </w:pPr>
            <w:r>
              <w:rPr>
                <w:rFonts w:eastAsia="楷体_GB2312"/>
                <w:color w:val="000000"/>
                <w:sz w:val="18"/>
                <w:szCs w:val="18"/>
              </w:rPr>
              <w:t>计息方式</w:t>
            </w:r>
          </w:p>
        </w:tc>
        <w:tc>
          <w:tcPr>
            <w:tcW w:w="5670" w:type="dxa"/>
            <w:tcBorders>
              <w:top w:val="single" w:color="auto" w:sz="4" w:space="0"/>
              <w:left w:val="single" w:color="auto" w:sz="4" w:space="0"/>
              <w:right w:val="single" w:color="auto" w:sz="4" w:space="0"/>
            </w:tcBorders>
          </w:tcPr>
          <w:p w14:paraId="49FB0B26">
            <w:pPr>
              <w:spacing w:line="360" w:lineRule="auto"/>
              <w:jc w:val="right"/>
              <w:rPr>
                <w:rFonts w:eastAsia="楷体_GB2312"/>
                <w:color w:val="000000"/>
                <w:sz w:val="18"/>
                <w:szCs w:val="18"/>
              </w:rPr>
            </w:pPr>
          </w:p>
        </w:tc>
      </w:tr>
    </w:tbl>
    <w:p w14:paraId="5362B1C0">
      <w:pPr>
        <w:spacing w:line="360" w:lineRule="auto"/>
        <w:rPr>
          <w:rFonts w:eastAsia="楷体_GB2312"/>
          <w:color w:val="000000"/>
        </w:rPr>
      </w:pPr>
    </w:p>
    <w:p w14:paraId="0C49FCED">
      <w:pPr>
        <w:widowControl/>
        <w:jc w:val="left"/>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84"/>
        <w:gridCol w:w="3244"/>
        <w:gridCol w:w="3685"/>
      </w:tblGrid>
      <w:tr w14:paraId="6F29F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single" w:color="auto" w:sz="4" w:space="0"/>
              <w:left w:val="single" w:color="auto" w:sz="4" w:space="0"/>
              <w:bottom w:val="single" w:color="auto" w:sz="4" w:space="0"/>
              <w:right w:val="single" w:color="auto" w:sz="4" w:space="0"/>
            </w:tcBorders>
          </w:tcPr>
          <w:p w14:paraId="0D78D256">
            <w:pPr>
              <w:spacing w:line="360" w:lineRule="auto"/>
              <w:jc w:val="center"/>
              <w:rPr>
                <w:rFonts w:eastAsia="楷体_GB2312"/>
                <w:b/>
                <w:color w:val="000000"/>
                <w:sz w:val="28"/>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54479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3"/>
            <w:tcBorders>
              <w:top w:val="single" w:color="auto" w:sz="4" w:space="0"/>
              <w:left w:val="single" w:color="auto" w:sz="4" w:space="0"/>
              <w:bottom w:val="single" w:color="auto" w:sz="4" w:space="0"/>
              <w:right w:val="single" w:color="auto" w:sz="4" w:space="0"/>
            </w:tcBorders>
          </w:tcPr>
          <w:p w14:paraId="37E61EC1">
            <w:pPr>
              <w:spacing w:line="360" w:lineRule="auto"/>
              <w:rPr>
                <w:rFonts w:eastAsia="楷体_GB2312"/>
                <w:b/>
                <w:color w:val="000000"/>
              </w:rPr>
            </w:pPr>
            <w:r>
              <w:rPr>
                <w:rFonts w:eastAsia="楷体_GB2312"/>
                <w:b/>
                <w:color w:val="000000"/>
              </w:rPr>
              <w:t>三、资产支持证券概况（续）</w:t>
            </w:r>
          </w:p>
          <w:p w14:paraId="12369D92">
            <w:pPr>
              <w:spacing w:line="360" w:lineRule="auto"/>
              <w:jc w:val="left"/>
              <w:rPr>
                <w:rFonts w:eastAsia="楷体_GB2312"/>
                <w:b/>
                <w:color w:val="000000"/>
                <w:sz w:val="28"/>
              </w:rPr>
            </w:pPr>
            <w:r>
              <w:rPr>
                <w:rFonts w:eastAsia="楷体_GB2312"/>
                <w:b/>
                <w:color w:val="000000"/>
              </w:rPr>
              <w:t>（二）资产支持证券本息兑付情况：</w:t>
            </w:r>
          </w:p>
        </w:tc>
      </w:tr>
      <w:tr w14:paraId="676627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684" w:type="dxa"/>
            <w:tcBorders>
              <w:top w:val="single" w:color="auto" w:sz="4" w:space="0"/>
              <w:bottom w:val="single" w:color="auto" w:sz="4" w:space="0"/>
              <w:right w:val="single" w:color="auto" w:sz="4" w:space="0"/>
            </w:tcBorders>
          </w:tcPr>
          <w:p w14:paraId="59F14872">
            <w:pPr>
              <w:spacing w:line="360" w:lineRule="auto"/>
              <w:rPr>
                <w:rFonts w:eastAsia="楷体_GB2312"/>
                <w:b/>
                <w:color w:val="000000"/>
                <w:sz w:val="18"/>
              </w:rPr>
            </w:pPr>
            <w:r>
              <w:rPr>
                <w:rFonts w:eastAsia="楷体_GB2312"/>
                <w:b/>
                <w:color w:val="000000"/>
                <w:sz w:val="18"/>
              </w:rPr>
              <w:t>证券分层</w:t>
            </w:r>
          </w:p>
        </w:tc>
        <w:tc>
          <w:tcPr>
            <w:tcW w:w="3244" w:type="dxa"/>
            <w:tcBorders>
              <w:top w:val="single" w:color="auto" w:sz="4" w:space="0"/>
              <w:left w:val="single" w:color="auto" w:sz="4" w:space="0"/>
              <w:bottom w:val="single" w:color="auto" w:sz="4" w:space="0"/>
              <w:right w:val="single" w:color="auto" w:sz="4" w:space="0"/>
            </w:tcBorders>
          </w:tcPr>
          <w:p w14:paraId="18751070">
            <w:pPr>
              <w:keepNext/>
              <w:keepLines/>
              <w:spacing w:line="360" w:lineRule="auto"/>
              <w:ind w:right="-250" w:rightChars="-119" w:firstLine="460" w:firstLineChars="229"/>
              <w:jc w:val="center"/>
              <w:rPr>
                <w:rFonts w:eastAsia="楷体_GB2312"/>
                <w:b/>
                <w:color w:val="000000"/>
                <w:sz w:val="20"/>
                <w:szCs w:val="20"/>
              </w:rPr>
            </w:pPr>
            <w:r>
              <w:rPr>
                <w:rFonts w:eastAsia="楷体_GB2312"/>
                <w:b/>
                <w:color w:val="000000"/>
                <w:sz w:val="20"/>
                <w:szCs w:val="20"/>
              </w:rPr>
              <w:t>优先级资产支持证券</w:t>
            </w:r>
          </w:p>
        </w:tc>
        <w:tc>
          <w:tcPr>
            <w:tcW w:w="3685" w:type="dxa"/>
            <w:tcBorders>
              <w:top w:val="single" w:color="auto" w:sz="4" w:space="0"/>
              <w:left w:val="single" w:color="auto" w:sz="4" w:space="0"/>
              <w:bottom w:val="single" w:color="auto" w:sz="4" w:space="0"/>
            </w:tcBorders>
          </w:tcPr>
          <w:p w14:paraId="5E04560D">
            <w:pPr>
              <w:keepNext/>
              <w:keepLines/>
              <w:spacing w:line="360" w:lineRule="auto"/>
              <w:jc w:val="center"/>
              <w:rPr>
                <w:rFonts w:eastAsia="楷体_GB2312"/>
                <w:b/>
                <w:color w:val="000000"/>
                <w:sz w:val="20"/>
                <w:szCs w:val="20"/>
              </w:rPr>
            </w:pPr>
            <w:r>
              <w:rPr>
                <w:rFonts w:eastAsia="楷体_GB2312"/>
                <w:b/>
                <w:color w:val="000000"/>
                <w:sz w:val="20"/>
                <w:szCs w:val="20"/>
              </w:rPr>
              <w:t>次级资产支持证券</w:t>
            </w:r>
          </w:p>
        </w:tc>
      </w:tr>
      <w:tr w14:paraId="528BCF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1684" w:type="dxa"/>
            <w:tcBorders>
              <w:top w:val="single" w:color="auto" w:sz="4" w:space="0"/>
              <w:bottom w:val="single" w:color="auto" w:sz="4" w:space="0"/>
              <w:right w:val="single" w:color="auto" w:sz="4" w:space="0"/>
            </w:tcBorders>
          </w:tcPr>
          <w:p w14:paraId="5513F56B">
            <w:pPr>
              <w:spacing w:line="360" w:lineRule="auto"/>
              <w:rPr>
                <w:rFonts w:eastAsia="楷体_GB2312"/>
                <w:color w:val="000000"/>
                <w:sz w:val="18"/>
                <w:szCs w:val="18"/>
              </w:rPr>
            </w:pPr>
            <w:r>
              <w:rPr>
                <w:rFonts w:eastAsia="楷体_GB2312"/>
                <w:color w:val="000000"/>
                <w:sz w:val="18"/>
                <w:szCs w:val="18"/>
              </w:rPr>
              <w:t>证券代码</w:t>
            </w:r>
          </w:p>
        </w:tc>
        <w:tc>
          <w:tcPr>
            <w:tcW w:w="3244" w:type="dxa"/>
            <w:tcBorders>
              <w:top w:val="single" w:color="auto" w:sz="4" w:space="0"/>
              <w:left w:val="single" w:color="auto" w:sz="4" w:space="0"/>
              <w:bottom w:val="single" w:color="auto" w:sz="4" w:space="0"/>
              <w:right w:val="single" w:color="auto" w:sz="4" w:space="0"/>
            </w:tcBorders>
          </w:tcPr>
          <w:p w14:paraId="79BAE32F">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11AA6FB3">
            <w:pPr>
              <w:spacing w:line="360" w:lineRule="auto"/>
              <w:jc w:val="center"/>
              <w:rPr>
                <w:rFonts w:eastAsia="楷体_GB2312"/>
                <w:b/>
                <w:color w:val="000000"/>
                <w:sz w:val="18"/>
                <w:szCs w:val="18"/>
              </w:rPr>
            </w:pPr>
          </w:p>
        </w:tc>
      </w:tr>
      <w:tr w14:paraId="66B4BB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58A88C9B">
            <w:pPr>
              <w:spacing w:line="360" w:lineRule="auto"/>
              <w:rPr>
                <w:rFonts w:eastAsia="楷体_GB2312"/>
                <w:color w:val="000000"/>
                <w:sz w:val="18"/>
                <w:szCs w:val="18"/>
              </w:rPr>
            </w:pPr>
            <w:r>
              <w:rPr>
                <w:rFonts w:eastAsia="楷体_GB2312"/>
                <w:color w:val="000000"/>
                <w:sz w:val="18"/>
                <w:szCs w:val="18"/>
              </w:rPr>
              <w:t>发行总额</w:t>
            </w:r>
          </w:p>
        </w:tc>
        <w:tc>
          <w:tcPr>
            <w:tcW w:w="3244" w:type="dxa"/>
            <w:tcBorders>
              <w:top w:val="single" w:color="auto" w:sz="4" w:space="0"/>
              <w:left w:val="single" w:color="auto" w:sz="4" w:space="0"/>
              <w:bottom w:val="single" w:color="auto" w:sz="4" w:space="0"/>
              <w:right w:val="single" w:color="auto" w:sz="4" w:space="0"/>
            </w:tcBorders>
          </w:tcPr>
          <w:p w14:paraId="5526F697">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52CEE85B">
            <w:pPr>
              <w:spacing w:line="360" w:lineRule="auto"/>
              <w:jc w:val="center"/>
              <w:rPr>
                <w:rFonts w:eastAsia="楷体_GB2312"/>
                <w:b/>
                <w:color w:val="000000"/>
                <w:sz w:val="18"/>
                <w:szCs w:val="18"/>
              </w:rPr>
            </w:pPr>
          </w:p>
        </w:tc>
      </w:tr>
      <w:tr w14:paraId="0475E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3E828DC8">
            <w:pPr>
              <w:spacing w:line="360" w:lineRule="auto"/>
              <w:rPr>
                <w:rFonts w:eastAsia="楷体_GB2312"/>
                <w:color w:val="000000"/>
                <w:sz w:val="18"/>
                <w:szCs w:val="18"/>
              </w:rPr>
            </w:pPr>
            <w:r>
              <w:rPr>
                <w:rFonts w:eastAsia="楷体_GB2312"/>
                <w:color w:val="000000"/>
                <w:sz w:val="18"/>
                <w:szCs w:val="18"/>
              </w:rPr>
              <w:t>是否按时兑付</w:t>
            </w:r>
          </w:p>
        </w:tc>
        <w:tc>
          <w:tcPr>
            <w:tcW w:w="3244" w:type="dxa"/>
            <w:tcBorders>
              <w:top w:val="single" w:color="auto" w:sz="4" w:space="0"/>
              <w:left w:val="single" w:color="auto" w:sz="4" w:space="0"/>
              <w:bottom w:val="single" w:color="auto" w:sz="4" w:space="0"/>
              <w:right w:val="single" w:color="auto" w:sz="4" w:space="0"/>
            </w:tcBorders>
          </w:tcPr>
          <w:p w14:paraId="31860175">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7CF2AA23">
            <w:pPr>
              <w:spacing w:line="360" w:lineRule="auto"/>
              <w:jc w:val="center"/>
              <w:rPr>
                <w:rFonts w:eastAsia="楷体_GB2312"/>
                <w:b/>
                <w:color w:val="000000"/>
                <w:sz w:val="18"/>
                <w:szCs w:val="18"/>
              </w:rPr>
            </w:pPr>
          </w:p>
        </w:tc>
      </w:tr>
      <w:tr w14:paraId="2EAC1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3A81B1FC">
            <w:pPr>
              <w:spacing w:line="360" w:lineRule="auto"/>
              <w:rPr>
                <w:rFonts w:eastAsia="楷体_GB2312"/>
                <w:color w:val="000000"/>
                <w:sz w:val="18"/>
                <w:szCs w:val="18"/>
              </w:rPr>
            </w:pPr>
            <w:r>
              <w:rPr>
                <w:rFonts w:eastAsia="楷体_GB2312"/>
                <w:color w:val="000000"/>
                <w:sz w:val="18"/>
                <w:szCs w:val="18"/>
              </w:rPr>
              <w:t>票面利率</w:t>
            </w:r>
          </w:p>
        </w:tc>
        <w:tc>
          <w:tcPr>
            <w:tcW w:w="3244" w:type="dxa"/>
            <w:tcBorders>
              <w:top w:val="single" w:color="auto" w:sz="4" w:space="0"/>
              <w:left w:val="single" w:color="auto" w:sz="4" w:space="0"/>
              <w:bottom w:val="single" w:color="auto" w:sz="4" w:space="0"/>
              <w:right w:val="single" w:color="auto" w:sz="4" w:space="0"/>
            </w:tcBorders>
          </w:tcPr>
          <w:p w14:paraId="1C95EECF">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3EF74202">
            <w:pPr>
              <w:spacing w:line="360" w:lineRule="auto"/>
              <w:jc w:val="center"/>
              <w:rPr>
                <w:rFonts w:eastAsia="楷体_GB2312"/>
                <w:b/>
                <w:color w:val="000000"/>
                <w:sz w:val="18"/>
                <w:szCs w:val="18"/>
              </w:rPr>
            </w:pPr>
          </w:p>
        </w:tc>
      </w:tr>
      <w:tr w14:paraId="4C1EA5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1A67A380">
            <w:pPr>
              <w:spacing w:line="360" w:lineRule="auto"/>
              <w:rPr>
                <w:rFonts w:eastAsia="楷体_GB2312"/>
                <w:b/>
                <w:color w:val="000000"/>
                <w:sz w:val="18"/>
                <w:szCs w:val="18"/>
              </w:rPr>
            </w:pPr>
            <w:r>
              <w:rPr>
                <w:rFonts w:eastAsia="楷体_GB2312"/>
                <w:color w:val="000000"/>
                <w:sz w:val="18"/>
              </w:rPr>
              <w:t>本期兑付前本金值</w:t>
            </w:r>
          </w:p>
        </w:tc>
        <w:tc>
          <w:tcPr>
            <w:tcW w:w="3244" w:type="dxa"/>
            <w:tcBorders>
              <w:top w:val="single" w:color="auto" w:sz="4" w:space="0"/>
              <w:left w:val="single" w:color="auto" w:sz="4" w:space="0"/>
              <w:bottom w:val="single" w:color="auto" w:sz="4" w:space="0"/>
              <w:right w:val="single" w:color="auto" w:sz="4" w:space="0"/>
            </w:tcBorders>
          </w:tcPr>
          <w:p w14:paraId="14F8214C">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0E221224">
            <w:pPr>
              <w:spacing w:line="360" w:lineRule="auto"/>
              <w:jc w:val="center"/>
              <w:rPr>
                <w:rFonts w:eastAsia="楷体_GB2312"/>
                <w:b/>
                <w:color w:val="000000"/>
                <w:sz w:val="18"/>
                <w:szCs w:val="18"/>
              </w:rPr>
            </w:pPr>
          </w:p>
        </w:tc>
      </w:tr>
      <w:tr w14:paraId="5C39E9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4EADCEFD">
            <w:pPr>
              <w:spacing w:line="360" w:lineRule="auto"/>
              <w:rPr>
                <w:rFonts w:eastAsia="楷体_GB2312"/>
                <w:color w:val="000000"/>
                <w:sz w:val="18"/>
              </w:rPr>
            </w:pPr>
            <w:r>
              <w:rPr>
                <w:rFonts w:eastAsia="楷体_GB2312"/>
                <w:color w:val="000000"/>
                <w:sz w:val="18"/>
              </w:rPr>
              <w:t>本期兑付本金额</w:t>
            </w:r>
          </w:p>
        </w:tc>
        <w:tc>
          <w:tcPr>
            <w:tcW w:w="3244" w:type="dxa"/>
            <w:tcBorders>
              <w:top w:val="single" w:color="auto" w:sz="4" w:space="0"/>
              <w:left w:val="single" w:color="auto" w:sz="4" w:space="0"/>
              <w:bottom w:val="single" w:color="auto" w:sz="4" w:space="0"/>
              <w:right w:val="single" w:color="auto" w:sz="4" w:space="0"/>
            </w:tcBorders>
          </w:tcPr>
          <w:p w14:paraId="7CEAAAC1">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51A5AF10">
            <w:pPr>
              <w:spacing w:line="360" w:lineRule="auto"/>
              <w:jc w:val="center"/>
              <w:rPr>
                <w:rFonts w:eastAsia="楷体_GB2312"/>
                <w:b/>
                <w:color w:val="000000"/>
                <w:sz w:val="18"/>
                <w:szCs w:val="18"/>
              </w:rPr>
            </w:pPr>
          </w:p>
        </w:tc>
      </w:tr>
      <w:tr w14:paraId="066F46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34CE3A40">
            <w:pPr>
              <w:spacing w:line="360" w:lineRule="auto"/>
              <w:rPr>
                <w:rFonts w:eastAsia="楷体_GB2312"/>
                <w:color w:val="000000"/>
                <w:sz w:val="18"/>
              </w:rPr>
            </w:pPr>
            <w:r>
              <w:rPr>
                <w:rFonts w:eastAsia="楷体_GB2312"/>
                <w:color w:val="000000"/>
                <w:sz w:val="18"/>
              </w:rPr>
              <w:t>本期兑付本金总额</w:t>
            </w:r>
          </w:p>
        </w:tc>
        <w:tc>
          <w:tcPr>
            <w:tcW w:w="3244" w:type="dxa"/>
            <w:tcBorders>
              <w:top w:val="single" w:color="auto" w:sz="4" w:space="0"/>
              <w:left w:val="single" w:color="auto" w:sz="4" w:space="0"/>
              <w:bottom w:val="single" w:color="auto" w:sz="4" w:space="0"/>
              <w:right w:val="single" w:color="auto" w:sz="4" w:space="0"/>
            </w:tcBorders>
          </w:tcPr>
          <w:p w14:paraId="669D7719">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41EEEFB8">
            <w:pPr>
              <w:spacing w:line="360" w:lineRule="auto"/>
              <w:jc w:val="center"/>
              <w:rPr>
                <w:rFonts w:eastAsia="楷体_GB2312"/>
                <w:b/>
                <w:color w:val="000000"/>
                <w:sz w:val="18"/>
                <w:szCs w:val="18"/>
              </w:rPr>
            </w:pPr>
          </w:p>
        </w:tc>
      </w:tr>
      <w:tr w14:paraId="2DB54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75EDA29B">
            <w:pPr>
              <w:spacing w:line="360" w:lineRule="auto"/>
              <w:rPr>
                <w:rFonts w:eastAsia="楷体_GB2312"/>
                <w:color w:val="000000"/>
                <w:sz w:val="18"/>
              </w:rPr>
            </w:pPr>
            <w:r>
              <w:rPr>
                <w:rFonts w:eastAsia="楷体_GB2312"/>
                <w:color w:val="000000"/>
                <w:sz w:val="18"/>
              </w:rPr>
              <w:t>本息兑付后剩余本金值</w:t>
            </w:r>
          </w:p>
        </w:tc>
        <w:tc>
          <w:tcPr>
            <w:tcW w:w="3244" w:type="dxa"/>
            <w:tcBorders>
              <w:top w:val="single" w:color="auto" w:sz="4" w:space="0"/>
              <w:left w:val="single" w:color="auto" w:sz="4" w:space="0"/>
              <w:bottom w:val="single" w:color="auto" w:sz="4" w:space="0"/>
              <w:right w:val="single" w:color="auto" w:sz="4" w:space="0"/>
            </w:tcBorders>
          </w:tcPr>
          <w:p w14:paraId="3883FA70">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3A2B6458">
            <w:pPr>
              <w:spacing w:line="360" w:lineRule="auto"/>
              <w:jc w:val="center"/>
              <w:rPr>
                <w:rFonts w:eastAsia="楷体_GB2312"/>
                <w:b/>
                <w:color w:val="000000"/>
                <w:sz w:val="18"/>
                <w:szCs w:val="18"/>
              </w:rPr>
            </w:pPr>
          </w:p>
        </w:tc>
      </w:tr>
      <w:tr w14:paraId="05A38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1F4A5D7D">
            <w:pPr>
              <w:spacing w:line="360" w:lineRule="auto"/>
              <w:rPr>
                <w:rFonts w:eastAsia="楷体_GB2312"/>
                <w:color w:val="000000"/>
                <w:sz w:val="18"/>
              </w:rPr>
            </w:pPr>
            <w:r>
              <w:rPr>
                <w:rFonts w:eastAsia="楷体_GB2312"/>
                <w:color w:val="000000"/>
                <w:sz w:val="18"/>
              </w:rPr>
              <w:t>付息金额</w:t>
            </w:r>
          </w:p>
        </w:tc>
        <w:tc>
          <w:tcPr>
            <w:tcW w:w="3244" w:type="dxa"/>
            <w:tcBorders>
              <w:top w:val="single" w:color="auto" w:sz="4" w:space="0"/>
              <w:left w:val="single" w:color="auto" w:sz="4" w:space="0"/>
              <w:bottom w:val="single" w:color="auto" w:sz="4" w:space="0"/>
              <w:right w:val="single" w:color="auto" w:sz="4" w:space="0"/>
            </w:tcBorders>
          </w:tcPr>
          <w:p w14:paraId="02F14E72">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7E5B0A35">
            <w:pPr>
              <w:spacing w:line="360" w:lineRule="auto"/>
              <w:jc w:val="center"/>
              <w:rPr>
                <w:rFonts w:eastAsia="楷体_GB2312"/>
                <w:b/>
                <w:color w:val="000000"/>
                <w:sz w:val="18"/>
                <w:szCs w:val="18"/>
              </w:rPr>
            </w:pPr>
          </w:p>
        </w:tc>
      </w:tr>
      <w:tr w14:paraId="0EEF5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684" w:type="dxa"/>
            <w:tcBorders>
              <w:top w:val="single" w:color="auto" w:sz="4" w:space="0"/>
              <w:bottom w:val="single" w:color="auto" w:sz="4" w:space="0"/>
              <w:right w:val="single" w:color="auto" w:sz="4" w:space="0"/>
            </w:tcBorders>
          </w:tcPr>
          <w:p w14:paraId="6D600F24">
            <w:pPr>
              <w:spacing w:line="360" w:lineRule="auto"/>
              <w:rPr>
                <w:rFonts w:eastAsia="楷体_GB2312"/>
                <w:color w:val="000000"/>
                <w:sz w:val="18"/>
              </w:rPr>
            </w:pPr>
            <w:r>
              <w:rPr>
                <w:rFonts w:eastAsia="楷体_GB2312"/>
                <w:color w:val="000000"/>
                <w:sz w:val="18"/>
              </w:rPr>
              <w:t>本期利息是否延迟支付</w:t>
            </w:r>
          </w:p>
        </w:tc>
        <w:tc>
          <w:tcPr>
            <w:tcW w:w="3244" w:type="dxa"/>
            <w:tcBorders>
              <w:top w:val="single" w:color="auto" w:sz="4" w:space="0"/>
              <w:left w:val="single" w:color="auto" w:sz="4" w:space="0"/>
              <w:bottom w:val="single" w:color="auto" w:sz="4" w:space="0"/>
              <w:right w:val="single" w:color="auto" w:sz="4" w:space="0"/>
            </w:tcBorders>
          </w:tcPr>
          <w:p w14:paraId="1931D643">
            <w:pPr>
              <w:spacing w:line="360" w:lineRule="auto"/>
              <w:jc w:val="center"/>
              <w:rPr>
                <w:rFonts w:eastAsia="楷体_GB2312"/>
                <w:b/>
                <w:color w:val="000000"/>
                <w:sz w:val="18"/>
                <w:szCs w:val="18"/>
              </w:rPr>
            </w:pPr>
          </w:p>
        </w:tc>
        <w:tc>
          <w:tcPr>
            <w:tcW w:w="3685" w:type="dxa"/>
            <w:tcBorders>
              <w:top w:val="single" w:color="auto" w:sz="4" w:space="0"/>
              <w:left w:val="single" w:color="auto" w:sz="4" w:space="0"/>
              <w:bottom w:val="single" w:color="auto" w:sz="4" w:space="0"/>
            </w:tcBorders>
          </w:tcPr>
          <w:p w14:paraId="27F57752">
            <w:pPr>
              <w:spacing w:line="360" w:lineRule="auto"/>
              <w:jc w:val="center"/>
              <w:rPr>
                <w:rFonts w:eastAsia="楷体_GB2312"/>
                <w:b/>
                <w:color w:val="000000"/>
                <w:sz w:val="18"/>
                <w:szCs w:val="18"/>
              </w:rPr>
            </w:pPr>
          </w:p>
        </w:tc>
      </w:tr>
    </w:tbl>
    <w:p w14:paraId="0F6A3F89">
      <w:pPr>
        <w:spacing w:line="360" w:lineRule="auto"/>
        <w:rPr>
          <w:rFonts w:eastAsia="楷体_GB2312"/>
          <w:color w:val="000000"/>
        </w:rPr>
      </w:pPr>
    </w:p>
    <w:p w14:paraId="7A142283">
      <w:pPr>
        <w:spacing w:line="360" w:lineRule="auto"/>
        <w:rPr>
          <w:rFonts w:eastAsia="楷体_GB2312"/>
          <w:color w:val="000000"/>
        </w:rPr>
      </w:pPr>
      <w:r>
        <w:rPr>
          <w:rFonts w:eastAsia="楷体_GB2312"/>
          <w:color w:val="000000"/>
        </w:rPr>
        <w:br w:type="page"/>
      </w:r>
    </w:p>
    <w:tbl>
      <w:tblPr>
        <w:tblStyle w:val="2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55"/>
        <w:gridCol w:w="708"/>
        <w:gridCol w:w="993"/>
        <w:gridCol w:w="425"/>
        <w:gridCol w:w="992"/>
        <w:gridCol w:w="284"/>
        <w:gridCol w:w="1134"/>
        <w:gridCol w:w="567"/>
        <w:gridCol w:w="425"/>
        <w:gridCol w:w="283"/>
        <w:gridCol w:w="993"/>
      </w:tblGrid>
      <w:tr w14:paraId="63A3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12"/>
          </w:tcPr>
          <w:p w14:paraId="717D012F">
            <w:pPr>
              <w:spacing w:line="360" w:lineRule="auto"/>
              <w:jc w:val="center"/>
              <w:rPr>
                <w:rFonts w:eastAsia="楷体_GB2312"/>
                <w:b/>
                <w:color w:val="000000"/>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1A65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12"/>
          </w:tcPr>
          <w:p w14:paraId="0E20C656">
            <w:pPr>
              <w:spacing w:line="360" w:lineRule="auto"/>
              <w:rPr>
                <w:rFonts w:eastAsia="楷体_GB2312"/>
                <w:b/>
                <w:color w:val="000000"/>
              </w:rPr>
            </w:pPr>
            <w:r>
              <w:rPr>
                <w:rFonts w:eastAsia="楷体_GB2312"/>
                <w:b/>
                <w:color w:val="000000"/>
              </w:rPr>
              <w:t>四、资产池表现情况</w:t>
            </w:r>
          </w:p>
        </w:tc>
      </w:tr>
      <w:tr w14:paraId="4CA4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12"/>
          </w:tcPr>
          <w:p w14:paraId="465BD917">
            <w:pPr>
              <w:spacing w:line="360" w:lineRule="auto"/>
              <w:rPr>
                <w:rFonts w:eastAsia="楷体_GB2312"/>
                <w:b/>
                <w:color w:val="000000"/>
              </w:rPr>
            </w:pPr>
            <w:r>
              <w:rPr>
                <w:rFonts w:eastAsia="楷体_GB2312"/>
                <w:b/>
                <w:color w:val="000000"/>
              </w:rPr>
              <w:t>（一）资产池整体表现情况</w:t>
            </w:r>
          </w:p>
        </w:tc>
      </w:tr>
      <w:tr w14:paraId="3F76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1413" w:type="dxa"/>
            <w:vMerge w:val="restart"/>
          </w:tcPr>
          <w:p w14:paraId="4EF0B477">
            <w:pPr>
              <w:spacing w:line="360" w:lineRule="auto"/>
              <w:rPr>
                <w:rFonts w:eastAsia="楷体_GB2312"/>
                <w:b/>
                <w:color w:val="000000"/>
              </w:rPr>
            </w:pPr>
          </w:p>
        </w:tc>
        <w:tc>
          <w:tcPr>
            <w:tcW w:w="963" w:type="dxa"/>
            <w:gridSpan w:val="2"/>
            <w:vMerge w:val="restart"/>
          </w:tcPr>
          <w:p w14:paraId="03481F96">
            <w:pPr>
              <w:spacing w:line="360" w:lineRule="auto"/>
              <w:jc w:val="center"/>
              <w:rPr>
                <w:rFonts w:eastAsia="楷体_GB2312"/>
                <w:b/>
                <w:color w:val="000000"/>
                <w:sz w:val="18"/>
              </w:rPr>
            </w:pPr>
            <w:r>
              <w:rPr>
                <w:rFonts w:eastAsia="楷体_GB2312"/>
                <w:b/>
                <w:color w:val="000000"/>
                <w:sz w:val="18"/>
              </w:rPr>
              <w:t>借款人户数</w:t>
            </w:r>
          </w:p>
        </w:tc>
        <w:tc>
          <w:tcPr>
            <w:tcW w:w="993" w:type="dxa"/>
            <w:vMerge w:val="restart"/>
          </w:tcPr>
          <w:p w14:paraId="00F0759E">
            <w:pPr>
              <w:spacing w:line="360" w:lineRule="auto"/>
              <w:jc w:val="center"/>
              <w:rPr>
                <w:rFonts w:eastAsia="楷体_GB2312"/>
                <w:b/>
                <w:color w:val="000000"/>
                <w:sz w:val="18"/>
              </w:rPr>
            </w:pPr>
            <w:r>
              <w:rPr>
                <w:rFonts w:eastAsia="楷体_GB2312"/>
                <w:b/>
                <w:color w:val="000000"/>
                <w:sz w:val="18"/>
              </w:rPr>
              <w:t>贷款笔数</w:t>
            </w:r>
          </w:p>
        </w:tc>
        <w:tc>
          <w:tcPr>
            <w:tcW w:w="1417" w:type="dxa"/>
            <w:gridSpan w:val="2"/>
            <w:vMerge w:val="restart"/>
          </w:tcPr>
          <w:p w14:paraId="23DCE3C0">
            <w:pPr>
              <w:spacing w:line="360" w:lineRule="auto"/>
              <w:jc w:val="center"/>
              <w:rPr>
                <w:rFonts w:eastAsia="楷体_GB2312"/>
                <w:b/>
                <w:color w:val="000000"/>
                <w:sz w:val="18"/>
              </w:rPr>
            </w:pPr>
            <w:r>
              <w:rPr>
                <w:rFonts w:eastAsia="楷体_GB2312"/>
                <w:b/>
                <w:color w:val="000000"/>
                <w:sz w:val="18"/>
              </w:rPr>
              <w:t>贷款本息余额</w:t>
            </w:r>
          </w:p>
        </w:tc>
        <w:tc>
          <w:tcPr>
            <w:tcW w:w="3686" w:type="dxa"/>
            <w:gridSpan w:val="6"/>
          </w:tcPr>
          <w:p w14:paraId="6C1A13CF">
            <w:pPr>
              <w:spacing w:line="360" w:lineRule="auto"/>
              <w:jc w:val="center"/>
              <w:rPr>
                <w:rFonts w:eastAsia="楷体_GB2312"/>
                <w:b/>
                <w:color w:val="000000"/>
                <w:sz w:val="18"/>
              </w:rPr>
            </w:pPr>
            <w:r>
              <w:rPr>
                <w:rFonts w:eastAsia="楷体_GB2312"/>
                <w:b/>
                <w:color w:val="000000"/>
                <w:sz w:val="18"/>
              </w:rPr>
              <w:t>赎回或替换</w:t>
            </w:r>
          </w:p>
        </w:tc>
      </w:tr>
      <w:tr w14:paraId="2FE3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1413" w:type="dxa"/>
            <w:vMerge w:val="continue"/>
          </w:tcPr>
          <w:p w14:paraId="4DDB49C6">
            <w:pPr>
              <w:spacing w:line="360" w:lineRule="auto"/>
              <w:rPr>
                <w:rFonts w:eastAsia="楷体_GB2312"/>
                <w:b/>
                <w:color w:val="000000"/>
              </w:rPr>
            </w:pPr>
          </w:p>
        </w:tc>
        <w:tc>
          <w:tcPr>
            <w:tcW w:w="963" w:type="dxa"/>
            <w:gridSpan w:val="2"/>
            <w:vMerge w:val="continue"/>
          </w:tcPr>
          <w:p w14:paraId="70AA05E5">
            <w:pPr>
              <w:spacing w:line="360" w:lineRule="auto"/>
              <w:jc w:val="center"/>
              <w:rPr>
                <w:rFonts w:eastAsia="楷体_GB2312"/>
                <w:b/>
                <w:color w:val="000000"/>
                <w:sz w:val="18"/>
              </w:rPr>
            </w:pPr>
          </w:p>
        </w:tc>
        <w:tc>
          <w:tcPr>
            <w:tcW w:w="993" w:type="dxa"/>
            <w:vMerge w:val="continue"/>
          </w:tcPr>
          <w:p w14:paraId="45B121A5">
            <w:pPr>
              <w:spacing w:line="360" w:lineRule="auto"/>
              <w:jc w:val="center"/>
              <w:rPr>
                <w:rFonts w:eastAsia="楷体_GB2312"/>
                <w:b/>
                <w:color w:val="000000"/>
                <w:sz w:val="18"/>
              </w:rPr>
            </w:pPr>
          </w:p>
        </w:tc>
        <w:tc>
          <w:tcPr>
            <w:tcW w:w="1417" w:type="dxa"/>
            <w:gridSpan w:val="2"/>
            <w:vMerge w:val="continue"/>
          </w:tcPr>
          <w:p w14:paraId="37648FBB">
            <w:pPr>
              <w:spacing w:line="360" w:lineRule="auto"/>
              <w:jc w:val="center"/>
              <w:rPr>
                <w:rFonts w:eastAsia="楷体_GB2312"/>
                <w:b/>
                <w:color w:val="000000"/>
                <w:sz w:val="18"/>
              </w:rPr>
            </w:pPr>
          </w:p>
        </w:tc>
        <w:tc>
          <w:tcPr>
            <w:tcW w:w="1418" w:type="dxa"/>
            <w:gridSpan w:val="2"/>
          </w:tcPr>
          <w:p w14:paraId="27EADC24">
            <w:pPr>
              <w:spacing w:line="360" w:lineRule="auto"/>
              <w:jc w:val="center"/>
              <w:rPr>
                <w:rFonts w:eastAsia="楷体_GB2312"/>
                <w:b/>
                <w:color w:val="000000"/>
                <w:sz w:val="18"/>
              </w:rPr>
            </w:pPr>
            <w:r>
              <w:rPr>
                <w:rFonts w:eastAsia="楷体_GB2312"/>
                <w:b/>
                <w:color w:val="000000"/>
                <w:sz w:val="18"/>
              </w:rPr>
              <w:t>贷款笔数</w:t>
            </w:r>
          </w:p>
        </w:tc>
        <w:tc>
          <w:tcPr>
            <w:tcW w:w="1275" w:type="dxa"/>
            <w:gridSpan w:val="3"/>
          </w:tcPr>
          <w:p w14:paraId="780C176F">
            <w:pPr>
              <w:spacing w:line="360" w:lineRule="auto"/>
              <w:jc w:val="center"/>
              <w:rPr>
                <w:rFonts w:eastAsia="楷体_GB2312"/>
                <w:b/>
                <w:color w:val="000000"/>
                <w:sz w:val="18"/>
              </w:rPr>
            </w:pPr>
            <w:r>
              <w:rPr>
                <w:rFonts w:eastAsia="楷体_GB2312"/>
                <w:b/>
                <w:color w:val="000000"/>
                <w:sz w:val="18"/>
              </w:rPr>
              <w:t>贷款金额</w:t>
            </w:r>
          </w:p>
        </w:tc>
        <w:tc>
          <w:tcPr>
            <w:tcW w:w="993" w:type="dxa"/>
          </w:tcPr>
          <w:p w14:paraId="02EBECAC">
            <w:pPr>
              <w:spacing w:line="360" w:lineRule="auto"/>
              <w:jc w:val="center"/>
              <w:rPr>
                <w:rFonts w:eastAsia="楷体_GB2312"/>
                <w:b/>
                <w:color w:val="000000"/>
                <w:sz w:val="18"/>
              </w:rPr>
            </w:pPr>
            <w:r>
              <w:rPr>
                <w:rFonts w:eastAsia="楷体_GB2312"/>
                <w:b/>
                <w:color w:val="000000"/>
                <w:sz w:val="18"/>
              </w:rPr>
              <w:t>贷款占比</w:t>
            </w:r>
          </w:p>
        </w:tc>
      </w:tr>
      <w:tr w14:paraId="195B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A26F537">
            <w:pPr>
              <w:spacing w:line="360" w:lineRule="auto"/>
              <w:rPr>
                <w:rFonts w:eastAsia="楷体_GB2312"/>
                <w:color w:val="000000"/>
                <w:sz w:val="18"/>
              </w:rPr>
            </w:pPr>
            <w:r>
              <w:rPr>
                <w:rFonts w:eastAsia="楷体_GB2312"/>
                <w:color w:val="000000"/>
                <w:sz w:val="18"/>
              </w:rPr>
              <w:t>初始起算日</w:t>
            </w:r>
          </w:p>
        </w:tc>
        <w:tc>
          <w:tcPr>
            <w:tcW w:w="963" w:type="dxa"/>
            <w:gridSpan w:val="2"/>
          </w:tcPr>
          <w:p w14:paraId="039A1467">
            <w:pPr>
              <w:spacing w:line="360" w:lineRule="auto"/>
              <w:jc w:val="center"/>
              <w:rPr>
                <w:rFonts w:eastAsia="楷体_GB2312"/>
                <w:color w:val="000000"/>
              </w:rPr>
            </w:pPr>
          </w:p>
        </w:tc>
        <w:tc>
          <w:tcPr>
            <w:tcW w:w="993" w:type="dxa"/>
          </w:tcPr>
          <w:p w14:paraId="490D6997">
            <w:pPr>
              <w:spacing w:line="360" w:lineRule="auto"/>
              <w:jc w:val="center"/>
              <w:rPr>
                <w:rFonts w:eastAsia="楷体_GB2312"/>
                <w:color w:val="000000"/>
              </w:rPr>
            </w:pPr>
          </w:p>
        </w:tc>
        <w:tc>
          <w:tcPr>
            <w:tcW w:w="1417" w:type="dxa"/>
            <w:gridSpan w:val="2"/>
          </w:tcPr>
          <w:p w14:paraId="2298AC36">
            <w:pPr>
              <w:spacing w:line="360" w:lineRule="auto"/>
              <w:jc w:val="center"/>
              <w:rPr>
                <w:rFonts w:eastAsia="楷体_GB2312"/>
                <w:color w:val="000000"/>
              </w:rPr>
            </w:pPr>
          </w:p>
        </w:tc>
        <w:tc>
          <w:tcPr>
            <w:tcW w:w="1418" w:type="dxa"/>
            <w:gridSpan w:val="2"/>
          </w:tcPr>
          <w:p w14:paraId="56134BBD">
            <w:pPr>
              <w:spacing w:line="360" w:lineRule="auto"/>
              <w:jc w:val="center"/>
              <w:rPr>
                <w:rFonts w:eastAsia="楷体_GB2312"/>
                <w:color w:val="000000"/>
              </w:rPr>
            </w:pPr>
          </w:p>
        </w:tc>
        <w:tc>
          <w:tcPr>
            <w:tcW w:w="1275" w:type="dxa"/>
            <w:gridSpan w:val="3"/>
          </w:tcPr>
          <w:p w14:paraId="3D4D6D5F">
            <w:pPr>
              <w:spacing w:line="360" w:lineRule="auto"/>
              <w:jc w:val="center"/>
              <w:rPr>
                <w:rFonts w:eastAsia="楷体_GB2312"/>
                <w:color w:val="000000"/>
              </w:rPr>
            </w:pPr>
          </w:p>
        </w:tc>
        <w:tc>
          <w:tcPr>
            <w:tcW w:w="993" w:type="dxa"/>
          </w:tcPr>
          <w:p w14:paraId="5E69BBF0">
            <w:pPr>
              <w:spacing w:line="360" w:lineRule="auto"/>
              <w:jc w:val="center"/>
              <w:rPr>
                <w:rFonts w:eastAsia="楷体_GB2312"/>
                <w:color w:val="000000"/>
              </w:rPr>
            </w:pPr>
          </w:p>
        </w:tc>
      </w:tr>
      <w:tr w14:paraId="14B8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1A02A2B">
            <w:pPr>
              <w:spacing w:line="360" w:lineRule="auto"/>
              <w:rPr>
                <w:rFonts w:eastAsia="楷体_GB2312"/>
                <w:color w:val="000000"/>
                <w:sz w:val="18"/>
              </w:rPr>
            </w:pPr>
            <w:r>
              <w:rPr>
                <w:rFonts w:eastAsia="楷体_GB2312"/>
                <w:color w:val="000000"/>
                <w:sz w:val="18"/>
              </w:rPr>
              <w:t>本期报告期末</w:t>
            </w:r>
          </w:p>
        </w:tc>
        <w:tc>
          <w:tcPr>
            <w:tcW w:w="963" w:type="dxa"/>
            <w:gridSpan w:val="2"/>
          </w:tcPr>
          <w:p w14:paraId="287E9A6D">
            <w:pPr>
              <w:spacing w:line="360" w:lineRule="auto"/>
              <w:jc w:val="center"/>
              <w:rPr>
                <w:rFonts w:eastAsia="楷体_GB2312"/>
                <w:color w:val="000000"/>
              </w:rPr>
            </w:pPr>
          </w:p>
        </w:tc>
        <w:tc>
          <w:tcPr>
            <w:tcW w:w="993" w:type="dxa"/>
          </w:tcPr>
          <w:p w14:paraId="1BF7032B">
            <w:pPr>
              <w:spacing w:line="360" w:lineRule="auto"/>
              <w:jc w:val="center"/>
              <w:rPr>
                <w:rFonts w:eastAsia="楷体_GB2312"/>
                <w:color w:val="000000"/>
              </w:rPr>
            </w:pPr>
          </w:p>
        </w:tc>
        <w:tc>
          <w:tcPr>
            <w:tcW w:w="1417" w:type="dxa"/>
            <w:gridSpan w:val="2"/>
          </w:tcPr>
          <w:p w14:paraId="6E414B9B">
            <w:pPr>
              <w:spacing w:line="360" w:lineRule="auto"/>
              <w:jc w:val="center"/>
              <w:rPr>
                <w:rFonts w:eastAsia="楷体_GB2312"/>
                <w:color w:val="000000"/>
              </w:rPr>
            </w:pPr>
          </w:p>
        </w:tc>
        <w:tc>
          <w:tcPr>
            <w:tcW w:w="1418" w:type="dxa"/>
            <w:gridSpan w:val="2"/>
          </w:tcPr>
          <w:p w14:paraId="59FE61FB">
            <w:pPr>
              <w:spacing w:line="360" w:lineRule="auto"/>
              <w:jc w:val="center"/>
              <w:rPr>
                <w:rFonts w:eastAsia="楷体_GB2312"/>
                <w:color w:val="000000"/>
              </w:rPr>
            </w:pPr>
          </w:p>
        </w:tc>
        <w:tc>
          <w:tcPr>
            <w:tcW w:w="1275" w:type="dxa"/>
            <w:gridSpan w:val="3"/>
          </w:tcPr>
          <w:p w14:paraId="0F01D0F3">
            <w:pPr>
              <w:spacing w:line="360" w:lineRule="auto"/>
              <w:jc w:val="center"/>
              <w:rPr>
                <w:rFonts w:eastAsia="楷体_GB2312"/>
                <w:color w:val="000000"/>
              </w:rPr>
            </w:pPr>
          </w:p>
        </w:tc>
        <w:tc>
          <w:tcPr>
            <w:tcW w:w="993" w:type="dxa"/>
          </w:tcPr>
          <w:p w14:paraId="53B9A9EE">
            <w:pPr>
              <w:spacing w:line="360" w:lineRule="auto"/>
              <w:jc w:val="center"/>
              <w:rPr>
                <w:rFonts w:eastAsia="楷体_GB2312"/>
                <w:color w:val="000000"/>
              </w:rPr>
            </w:pPr>
          </w:p>
        </w:tc>
      </w:tr>
      <w:tr w14:paraId="226B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12"/>
          </w:tcPr>
          <w:p w14:paraId="17DD5DFD">
            <w:pPr>
              <w:spacing w:line="360" w:lineRule="auto"/>
              <w:rPr>
                <w:rFonts w:eastAsia="楷体_GB2312"/>
                <w:b/>
                <w:color w:val="000000"/>
              </w:rPr>
            </w:pPr>
            <w:r>
              <w:rPr>
                <w:rFonts w:eastAsia="楷体_GB2312"/>
                <w:b/>
                <w:color w:val="000000"/>
              </w:rPr>
              <w:t>（二）资产池处置状态分布</w:t>
            </w:r>
          </w:p>
        </w:tc>
      </w:tr>
      <w:tr w14:paraId="6B34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0E68E873">
            <w:pPr>
              <w:spacing w:line="360" w:lineRule="auto"/>
              <w:rPr>
                <w:rFonts w:eastAsia="楷体_GB2312"/>
                <w:b/>
                <w:color w:val="000000"/>
                <w:sz w:val="18"/>
              </w:rPr>
            </w:pPr>
            <w:r>
              <w:rPr>
                <w:rFonts w:eastAsia="楷体_GB2312"/>
                <w:b/>
                <w:color w:val="000000"/>
                <w:sz w:val="18"/>
              </w:rPr>
              <w:t>各处置状态的资产情况</w:t>
            </w:r>
          </w:p>
        </w:tc>
        <w:tc>
          <w:tcPr>
            <w:tcW w:w="2126" w:type="dxa"/>
            <w:gridSpan w:val="3"/>
          </w:tcPr>
          <w:p w14:paraId="69AA3873">
            <w:pPr>
              <w:spacing w:line="360" w:lineRule="auto"/>
              <w:jc w:val="center"/>
              <w:rPr>
                <w:rFonts w:eastAsia="楷体_GB2312"/>
                <w:b/>
                <w:color w:val="000000"/>
                <w:sz w:val="18"/>
              </w:rPr>
            </w:pPr>
            <w:r>
              <w:rPr>
                <w:rFonts w:eastAsia="楷体_GB2312"/>
                <w:b/>
                <w:color w:val="000000"/>
                <w:sz w:val="18"/>
              </w:rPr>
              <w:t>贷款笔数</w:t>
            </w:r>
          </w:p>
        </w:tc>
        <w:tc>
          <w:tcPr>
            <w:tcW w:w="1276" w:type="dxa"/>
            <w:gridSpan w:val="2"/>
          </w:tcPr>
          <w:p w14:paraId="42448837">
            <w:pPr>
              <w:spacing w:line="360" w:lineRule="auto"/>
              <w:jc w:val="center"/>
              <w:rPr>
                <w:rFonts w:eastAsia="楷体_GB2312"/>
                <w:b/>
                <w:color w:val="000000"/>
                <w:sz w:val="18"/>
              </w:rPr>
            </w:pPr>
            <w:r>
              <w:rPr>
                <w:rFonts w:eastAsia="楷体_GB2312"/>
                <w:b/>
                <w:color w:val="000000"/>
                <w:sz w:val="18"/>
              </w:rPr>
              <w:t>占比</w:t>
            </w:r>
          </w:p>
        </w:tc>
        <w:tc>
          <w:tcPr>
            <w:tcW w:w="2126" w:type="dxa"/>
            <w:gridSpan w:val="3"/>
          </w:tcPr>
          <w:p w14:paraId="5A2A8A29">
            <w:pPr>
              <w:spacing w:line="360" w:lineRule="auto"/>
              <w:jc w:val="center"/>
              <w:rPr>
                <w:rFonts w:eastAsia="楷体_GB2312"/>
                <w:b/>
                <w:color w:val="000000"/>
                <w:sz w:val="18"/>
              </w:rPr>
            </w:pPr>
            <w:r>
              <w:rPr>
                <w:rFonts w:eastAsia="楷体_GB2312"/>
                <w:b/>
                <w:color w:val="000000"/>
                <w:sz w:val="18"/>
              </w:rPr>
              <w:t>期初未偿本息余额</w:t>
            </w:r>
          </w:p>
        </w:tc>
        <w:tc>
          <w:tcPr>
            <w:tcW w:w="1276" w:type="dxa"/>
            <w:gridSpan w:val="2"/>
          </w:tcPr>
          <w:p w14:paraId="2D031B1E">
            <w:pPr>
              <w:spacing w:line="360" w:lineRule="auto"/>
              <w:jc w:val="center"/>
              <w:rPr>
                <w:rFonts w:eastAsia="楷体_GB2312"/>
                <w:b/>
                <w:color w:val="000000"/>
                <w:sz w:val="18"/>
              </w:rPr>
            </w:pPr>
            <w:r>
              <w:rPr>
                <w:rFonts w:eastAsia="楷体_GB2312"/>
                <w:b/>
                <w:color w:val="000000"/>
                <w:sz w:val="18"/>
              </w:rPr>
              <w:t>占比</w:t>
            </w:r>
          </w:p>
        </w:tc>
      </w:tr>
      <w:tr w14:paraId="6882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461706AF">
            <w:pPr>
              <w:spacing w:line="360" w:lineRule="auto"/>
              <w:rPr>
                <w:rFonts w:eastAsia="楷体_GB2312"/>
                <w:color w:val="000000"/>
                <w:sz w:val="18"/>
              </w:rPr>
            </w:pPr>
            <w:r>
              <w:rPr>
                <w:rFonts w:eastAsia="楷体_GB2312"/>
                <w:color w:val="000000"/>
                <w:sz w:val="18"/>
              </w:rPr>
              <w:t>处置中</w:t>
            </w:r>
          </w:p>
        </w:tc>
        <w:tc>
          <w:tcPr>
            <w:tcW w:w="2126" w:type="dxa"/>
            <w:gridSpan w:val="3"/>
          </w:tcPr>
          <w:p w14:paraId="7C684036">
            <w:pPr>
              <w:spacing w:line="360" w:lineRule="auto"/>
              <w:jc w:val="center"/>
              <w:rPr>
                <w:rFonts w:eastAsia="楷体_GB2312"/>
                <w:color w:val="000000"/>
              </w:rPr>
            </w:pPr>
          </w:p>
        </w:tc>
        <w:tc>
          <w:tcPr>
            <w:tcW w:w="1276" w:type="dxa"/>
            <w:gridSpan w:val="2"/>
          </w:tcPr>
          <w:p w14:paraId="46745340">
            <w:pPr>
              <w:spacing w:line="360" w:lineRule="auto"/>
              <w:jc w:val="center"/>
              <w:rPr>
                <w:rFonts w:eastAsia="楷体_GB2312"/>
                <w:color w:val="000000"/>
              </w:rPr>
            </w:pPr>
          </w:p>
        </w:tc>
        <w:tc>
          <w:tcPr>
            <w:tcW w:w="2126" w:type="dxa"/>
            <w:gridSpan w:val="3"/>
          </w:tcPr>
          <w:p w14:paraId="77AA8CFF">
            <w:pPr>
              <w:spacing w:line="360" w:lineRule="auto"/>
              <w:jc w:val="center"/>
              <w:rPr>
                <w:rFonts w:eastAsia="楷体_GB2312"/>
                <w:color w:val="000000"/>
              </w:rPr>
            </w:pPr>
          </w:p>
        </w:tc>
        <w:tc>
          <w:tcPr>
            <w:tcW w:w="1276" w:type="dxa"/>
            <w:gridSpan w:val="2"/>
          </w:tcPr>
          <w:p w14:paraId="64F00F2A">
            <w:pPr>
              <w:spacing w:line="360" w:lineRule="auto"/>
              <w:jc w:val="center"/>
              <w:rPr>
                <w:rFonts w:eastAsia="楷体_GB2312"/>
                <w:color w:val="000000"/>
              </w:rPr>
            </w:pPr>
          </w:p>
        </w:tc>
      </w:tr>
      <w:tr w14:paraId="2D67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7A308DC7">
            <w:pPr>
              <w:spacing w:line="360" w:lineRule="auto"/>
              <w:rPr>
                <w:rFonts w:eastAsia="楷体_GB2312"/>
                <w:color w:val="000000"/>
                <w:sz w:val="18"/>
              </w:rPr>
            </w:pPr>
            <w:r>
              <w:rPr>
                <w:rFonts w:eastAsia="楷体_GB2312"/>
                <w:color w:val="000000"/>
                <w:sz w:val="18"/>
              </w:rPr>
              <w:t>累计处置完毕</w:t>
            </w:r>
          </w:p>
        </w:tc>
        <w:tc>
          <w:tcPr>
            <w:tcW w:w="2126" w:type="dxa"/>
            <w:gridSpan w:val="3"/>
          </w:tcPr>
          <w:p w14:paraId="33BC0BA5">
            <w:pPr>
              <w:spacing w:line="360" w:lineRule="auto"/>
              <w:jc w:val="center"/>
              <w:rPr>
                <w:rFonts w:eastAsia="楷体_GB2312"/>
                <w:color w:val="000000"/>
              </w:rPr>
            </w:pPr>
          </w:p>
        </w:tc>
        <w:tc>
          <w:tcPr>
            <w:tcW w:w="1276" w:type="dxa"/>
            <w:gridSpan w:val="2"/>
          </w:tcPr>
          <w:p w14:paraId="501798A0">
            <w:pPr>
              <w:spacing w:line="360" w:lineRule="auto"/>
              <w:jc w:val="center"/>
              <w:rPr>
                <w:rFonts w:eastAsia="楷体_GB2312"/>
                <w:color w:val="000000"/>
              </w:rPr>
            </w:pPr>
          </w:p>
        </w:tc>
        <w:tc>
          <w:tcPr>
            <w:tcW w:w="2126" w:type="dxa"/>
            <w:gridSpan w:val="3"/>
          </w:tcPr>
          <w:p w14:paraId="34470A3E">
            <w:pPr>
              <w:spacing w:line="360" w:lineRule="auto"/>
              <w:jc w:val="center"/>
              <w:rPr>
                <w:rFonts w:eastAsia="楷体_GB2312"/>
                <w:color w:val="000000"/>
              </w:rPr>
            </w:pPr>
          </w:p>
        </w:tc>
        <w:tc>
          <w:tcPr>
            <w:tcW w:w="1276" w:type="dxa"/>
            <w:gridSpan w:val="2"/>
          </w:tcPr>
          <w:p w14:paraId="2460B761">
            <w:pPr>
              <w:spacing w:line="360" w:lineRule="auto"/>
              <w:jc w:val="center"/>
              <w:rPr>
                <w:rFonts w:eastAsia="楷体_GB2312"/>
                <w:color w:val="000000"/>
              </w:rPr>
            </w:pPr>
          </w:p>
        </w:tc>
      </w:tr>
      <w:tr w14:paraId="6E121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12"/>
          </w:tcPr>
          <w:p w14:paraId="01A33AC4">
            <w:pPr>
              <w:spacing w:line="360" w:lineRule="auto"/>
              <w:jc w:val="left"/>
              <w:rPr>
                <w:rFonts w:eastAsia="楷体_GB2312"/>
                <w:color w:val="000000"/>
              </w:rPr>
            </w:pPr>
            <w:r>
              <w:rPr>
                <w:rFonts w:eastAsia="楷体_GB2312"/>
                <w:b/>
                <w:color w:val="000000"/>
              </w:rPr>
              <w:t>（三）资金池现金流流入情况</w:t>
            </w:r>
          </w:p>
        </w:tc>
      </w:tr>
      <w:tr w14:paraId="6790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479D69D3">
            <w:pPr>
              <w:spacing w:line="360" w:lineRule="auto"/>
              <w:rPr>
                <w:rFonts w:eastAsia="楷体_GB2312"/>
                <w:color w:val="000000"/>
                <w:sz w:val="18"/>
              </w:rPr>
            </w:pPr>
            <w:r>
              <w:rPr>
                <w:rFonts w:eastAsia="楷体_GB2312"/>
                <w:b/>
                <w:color w:val="000000"/>
                <w:sz w:val="18"/>
                <w:szCs w:val="18"/>
              </w:rPr>
              <w:t>1、处置状态分布及现金流入</w:t>
            </w:r>
          </w:p>
        </w:tc>
        <w:tc>
          <w:tcPr>
            <w:tcW w:w="1701" w:type="dxa"/>
            <w:gridSpan w:val="2"/>
          </w:tcPr>
          <w:p w14:paraId="7CF1AB6D">
            <w:pPr>
              <w:spacing w:line="360" w:lineRule="auto"/>
              <w:jc w:val="center"/>
              <w:rPr>
                <w:rFonts w:eastAsia="楷体_GB2312"/>
                <w:color w:val="000000"/>
              </w:rPr>
            </w:pPr>
            <w:r>
              <w:rPr>
                <w:rFonts w:eastAsia="楷体_GB2312"/>
                <w:b/>
                <w:color w:val="000000"/>
                <w:sz w:val="18"/>
                <w:szCs w:val="18"/>
              </w:rPr>
              <w:t>本期回收金额</w:t>
            </w:r>
          </w:p>
        </w:tc>
        <w:tc>
          <w:tcPr>
            <w:tcW w:w="1701" w:type="dxa"/>
            <w:gridSpan w:val="3"/>
          </w:tcPr>
          <w:p w14:paraId="5E4A6464">
            <w:pPr>
              <w:spacing w:line="360" w:lineRule="auto"/>
              <w:jc w:val="center"/>
              <w:rPr>
                <w:rFonts w:eastAsia="楷体_GB2312"/>
                <w:color w:val="000000"/>
              </w:rPr>
            </w:pPr>
            <w:r>
              <w:rPr>
                <w:rFonts w:eastAsia="楷体_GB2312"/>
                <w:b/>
                <w:color w:val="000000"/>
                <w:sz w:val="18"/>
                <w:szCs w:val="18"/>
              </w:rPr>
              <w:t>累计回收金额</w:t>
            </w:r>
          </w:p>
        </w:tc>
        <w:tc>
          <w:tcPr>
            <w:tcW w:w="1701" w:type="dxa"/>
            <w:gridSpan w:val="2"/>
          </w:tcPr>
          <w:p w14:paraId="66FA2A77">
            <w:pPr>
              <w:spacing w:line="360" w:lineRule="auto"/>
              <w:jc w:val="center"/>
              <w:rPr>
                <w:rFonts w:eastAsia="楷体_GB2312"/>
                <w:color w:val="000000"/>
              </w:rPr>
            </w:pPr>
            <w:r>
              <w:rPr>
                <w:rFonts w:eastAsia="楷体_GB2312"/>
                <w:b/>
                <w:color w:val="000000"/>
                <w:sz w:val="18"/>
                <w:szCs w:val="18"/>
              </w:rPr>
              <w:t>预计回收金额</w:t>
            </w:r>
          </w:p>
        </w:tc>
        <w:tc>
          <w:tcPr>
            <w:tcW w:w="1701" w:type="dxa"/>
            <w:gridSpan w:val="3"/>
          </w:tcPr>
          <w:p w14:paraId="263C04C7">
            <w:pPr>
              <w:spacing w:line="360" w:lineRule="auto"/>
              <w:jc w:val="center"/>
              <w:rPr>
                <w:rFonts w:eastAsia="楷体_GB2312"/>
                <w:color w:val="000000"/>
              </w:rPr>
            </w:pPr>
            <w:r>
              <w:rPr>
                <w:rFonts w:eastAsia="楷体_GB2312"/>
                <w:b/>
                <w:color w:val="000000"/>
                <w:sz w:val="18"/>
                <w:szCs w:val="18"/>
              </w:rPr>
              <w:t>回收率</w:t>
            </w:r>
          </w:p>
        </w:tc>
      </w:tr>
      <w:tr w14:paraId="045A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1CA3E741">
            <w:pPr>
              <w:spacing w:line="360" w:lineRule="auto"/>
              <w:rPr>
                <w:rFonts w:eastAsia="楷体_GB2312"/>
                <w:color w:val="000000"/>
                <w:sz w:val="18"/>
              </w:rPr>
            </w:pPr>
            <w:r>
              <w:rPr>
                <w:rFonts w:eastAsia="楷体_GB2312"/>
                <w:color w:val="000000"/>
                <w:sz w:val="18"/>
                <w:szCs w:val="18"/>
              </w:rPr>
              <w:t>处置中的资产</w:t>
            </w:r>
          </w:p>
        </w:tc>
        <w:tc>
          <w:tcPr>
            <w:tcW w:w="1701" w:type="dxa"/>
            <w:gridSpan w:val="2"/>
          </w:tcPr>
          <w:p w14:paraId="56EB6647">
            <w:pPr>
              <w:spacing w:line="360" w:lineRule="auto"/>
              <w:jc w:val="center"/>
              <w:rPr>
                <w:rFonts w:eastAsia="楷体_GB2312"/>
                <w:color w:val="000000"/>
              </w:rPr>
            </w:pPr>
          </w:p>
        </w:tc>
        <w:tc>
          <w:tcPr>
            <w:tcW w:w="1701" w:type="dxa"/>
            <w:gridSpan w:val="3"/>
          </w:tcPr>
          <w:p w14:paraId="1FBF9E71">
            <w:pPr>
              <w:spacing w:line="360" w:lineRule="auto"/>
              <w:jc w:val="center"/>
              <w:rPr>
                <w:rFonts w:eastAsia="楷体_GB2312"/>
                <w:color w:val="000000"/>
              </w:rPr>
            </w:pPr>
          </w:p>
        </w:tc>
        <w:tc>
          <w:tcPr>
            <w:tcW w:w="1701" w:type="dxa"/>
            <w:gridSpan w:val="2"/>
          </w:tcPr>
          <w:p w14:paraId="152E1711">
            <w:pPr>
              <w:spacing w:line="360" w:lineRule="auto"/>
              <w:jc w:val="center"/>
              <w:rPr>
                <w:rFonts w:eastAsia="楷体_GB2312"/>
                <w:color w:val="000000"/>
              </w:rPr>
            </w:pPr>
          </w:p>
        </w:tc>
        <w:tc>
          <w:tcPr>
            <w:tcW w:w="1701" w:type="dxa"/>
            <w:gridSpan w:val="3"/>
          </w:tcPr>
          <w:p w14:paraId="24379BA1">
            <w:pPr>
              <w:spacing w:line="360" w:lineRule="auto"/>
              <w:jc w:val="center"/>
              <w:rPr>
                <w:rFonts w:eastAsia="楷体_GB2312"/>
                <w:color w:val="000000"/>
              </w:rPr>
            </w:pPr>
            <w:r>
              <w:rPr>
                <w:rFonts w:eastAsia="楷体_GB2312"/>
                <w:color w:val="000000"/>
                <w:sz w:val="18"/>
                <w:szCs w:val="18"/>
              </w:rPr>
              <w:t>不适用</w:t>
            </w:r>
          </w:p>
        </w:tc>
      </w:tr>
      <w:tr w14:paraId="5D85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11D6A594">
            <w:pPr>
              <w:spacing w:line="360" w:lineRule="auto"/>
              <w:rPr>
                <w:rFonts w:eastAsia="楷体_GB2312"/>
                <w:color w:val="000000"/>
                <w:sz w:val="18"/>
              </w:rPr>
            </w:pPr>
            <w:r>
              <w:rPr>
                <w:rFonts w:eastAsia="楷体_GB2312"/>
                <w:color w:val="000000"/>
                <w:sz w:val="18"/>
                <w:szCs w:val="18"/>
              </w:rPr>
              <w:t>本期处置完毕的资产</w:t>
            </w:r>
          </w:p>
        </w:tc>
        <w:tc>
          <w:tcPr>
            <w:tcW w:w="1701" w:type="dxa"/>
            <w:gridSpan w:val="2"/>
          </w:tcPr>
          <w:p w14:paraId="729ACB7F">
            <w:pPr>
              <w:spacing w:line="360" w:lineRule="auto"/>
              <w:jc w:val="center"/>
              <w:rPr>
                <w:rFonts w:eastAsia="楷体_GB2312"/>
                <w:color w:val="000000"/>
              </w:rPr>
            </w:pPr>
          </w:p>
        </w:tc>
        <w:tc>
          <w:tcPr>
            <w:tcW w:w="1701" w:type="dxa"/>
            <w:gridSpan w:val="3"/>
          </w:tcPr>
          <w:p w14:paraId="377DB1D6">
            <w:pPr>
              <w:spacing w:line="360" w:lineRule="auto"/>
              <w:jc w:val="center"/>
              <w:rPr>
                <w:rFonts w:eastAsia="楷体_GB2312"/>
                <w:color w:val="000000"/>
              </w:rPr>
            </w:pPr>
          </w:p>
        </w:tc>
        <w:tc>
          <w:tcPr>
            <w:tcW w:w="1701" w:type="dxa"/>
            <w:gridSpan w:val="2"/>
          </w:tcPr>
          <w:p w14:paraId="6C1C2B64">
            <w:pPr>
              <w:spacing w:line="360" w:lineRule="auto"/>
              <w:jc w:val="center"/>
              <w:rPr>
                <w:rFonts w:eastAsia="楷体_GB2312"/>
                <w:color w:val="000000"/>
              </w:rPr>
            </w:pPr>
            <w:r>
              <w:rPr>
                <w:rFonts w:eastAsia="楷体_GB2312"/>
                <w:color w:val="000000"/>
                <w:sz w:val="18"/>
                <w:szCs w:val="18"/>
              </w:rPr>
              <w:t>不适用</w:t>
            </w:r>
          </w:p>
        </w:tc>
        <w:tc>
          <w:tcPr>
            <w:tcW w:w="1701" w:type="dxa"/>
            <w:gridSpan w:val="3"/>
          </w:tcPr>
          <w:p w14:paraId="0FB99491">
            <w:pPr>
              <w:spacing w:line="360" w:lineRule="auto"/>
              <w:jc w:val="center"/>
              <w:rPr>
                <w:rFonts w:eastAsia="楷体_GB2312"/>
                <w:color w:val="000000"/>
              </w:rPr>
            </w:pPr>
          </w:p>
        </w:tc>
      </w:tr>
      <w:tr w14:paraId="28A0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594C5A90">
            <w:pPr>
              <w:spacing w:line="360" w:lineRule="auto"/>
              <w:rPr>
                <w:rFonts w:eastAsia="楷体_GB2312"/>
                <w:color w:val="000000"/>
                <w:sz w:val="18"/>
              </w:rPr>
            </w:pPr>
            <w:r>
              <w:rPr>
                <w:rFonts w:eastAsia="楷体_GB2312"/>
                <w:b/>
                <w:color w:val="000000"/>
                <w:sz w:val="18"/>
                <w:szCs w:val="18"/>
              </w:rPr>
              <w:t>2、其他现金流流入</w:t>
            </w:r>
          </w:p>
        </w:tc>
        <w:tc>
          <w:tcPr>
            <w:tcW w:w="1701" w:type="dxa"/>
            <w:gridSpan w:val="2"/>
          </w:tcPr>
          <w:p w14:paraId="613B362E">
            <w:pPr>
              <w:spacing w:line="360" w:lineRule="auto"/>
              <w:jc w:val="center"/>
              <w:rPr>
                <w:rFonts w:eastAsia="楷体_GB2312"/>
                <w:color w:val="000000"/>
              </w:rPr>
            </w:pPr>
            <w:r>
              <w:rPr>
                <w:rFonts w:eastAsia="楷体_GB2312"/>
                <w:b/>
                <w:color w:val="000000"/>
                <w:sz w:val="18"/>
                <w:szCs w:val="18"/>
              </w:rPr>
              <w:t>本期回收金额</w:t>
            </w:r>
          </w:p>
        </w:tc>
        <w:tc>
          <w:tcPr>
            <w:tcW w:w="1701" w:type="dxa"/>
            <w:gridSpan w:val="3"/>
          </w:tcPr>
          <w:p w14:paraId="379A63D2">
            <w:pPr>
              <w:spacing w:line="360" w:lineRule="auto"/>
              <w:jc w:val="center"/>
              <w:rPr>
                <w:rFonts w:eastAsia="楷体_GB2312"/>
                <w:color w:val="000000"/>
              </w:rPr>
            </w:pPr>
            <w:r>
              <w:rPr>
                <w:rFonts w:eastAsia="楷体_GB2312"/>
                <w:b/>
                <w:color w:val="000000"/>
                <w:sz w:val="18"/>
                <w:szCs w:val="18"/>
              </w:rPr>
              <w:t>累计回收金额</w:t>
            </w:r>
          </w:p>
        </w:tc>
        <w:tc>
          <w:tcPr>
            <w:tcW w:w="1701" w:type="dxa"/>
            <w:gridSpan w:val="2"/>
          </w:tcPr>
          <w:p w14:paraId="38F4325A">
            <w:pPr>
              <w:spacing w:line="360" w:lineRule="auto"/>
              <w:jc w:val="center"/>
              <w:rPr>
                <w:rFonts w:eastAsia="楷体_GB2312"/>
                <w:color w:val="000000"/>
              </w:rPr>
            </w:pPr>
            <w:r>
              <w:rPr>
                <w:rFonts w:eastAsia="楷体_GB2312"/>
                <w:color w:val="000000"/>
                <w:sz w:val="18"/>
                <w:szCs w:val="18"/>
              </w:rPr>
              <w:t>-</w:t>
            </w:r>
          </w:p>
        </w:tc>
        <w:tc>
          <w:tcPr>
            <w:tcW w:w="1701" w:type="dxa"/>
            <w:gridSpan w:val="3"/>
          </w:tcPr>
          <w:p w14:paraId="0B3C6FFB">
            <w:pPr>
              <w:spacing w:line="360" w:lineRule="auto"/>
              <w:jc w:val="center"/>
              <w:rPr>
                <w:rFonts w:eastAsia="楷体_GB2312"/>
                <w:color w:val="000000"/>
              </w:rPr>
            </w:pPr>
            <w:r>
              <w:rPr>
                <w:rFonts w:eastAsia="楷体_GB2312"/>
                <w:color w:val="000000"/>
                <w:sz w:val="18"/>
                <w:szCs w:val="18"/>
              </w:rPr>
              <w:t>-</w:t>
            </w:r>
          </w:p>
        </w:tc>
      </w:tr>
      <w:tr w14:paraId="5A88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33A8339B">
            <w:pPr>
              <w:spacing w:line="360" w:lineRule="auto"/>
              <w:rPr>
                <w:rFonts w:eastAsia="楷体_GB2312"/>
                <w:color w:val="000000"/>
                <w:sz w:val="18"/>
              </w:rPr>
            </w:pPr>
            <w:r>
              <w:rPr>
                <w:rFonts w:eastAsia="楷体_GB2312"/>
                <w:color w:val="000000"/>
                <w:sz w:val="18"/>
                <w:szCs w:val="18"/>
              </w:rPr>
              <w:t>其他收入</w:t>
            </w:r>
          </w:p>
        </w:tc>
        <w:tc>
          <w:tcPr>
            <w:tcW w:w="1701" w:type="dxa"/>
            <w:gridSpan w:val="2"/>
          </w:tcPr>
          <w:p w14:paraId="56D08977">
            <w:pPr>
              <w:spacing w:line="360" w:lineRule="auto"/>
              <w:jc w:val="center"/>
              <w:rPr>
                <w:rFonts w:eastAsia="楷体_GB2312"/>
                <w:color w:val="000000"/>
              </w:rPr>
            </w:pPr>
          </w:p>
        </w:tc>
        <w:tc>
          <w:tcPr>
            <w:tcW w:w="1701" w:type="dxa"/>
            <w:gridSpan w:val="3"/>
          </w:tcPr>
          <w:p w14:paraId="19367100">
            <w:pPr>
              <w:spacing w:line="360" w:lineRule="auto"/>
              <w:jc w:val="center"/>
              <w:rPr>
                <w:rFonts w:eastAsia="楷体_GB2312"/>
                <w:color w:val="000000"/>
              </w:rPr>
            </w:pPr>
          </w:p>
        </w:tc>
        <w:tc>
          <w:tcPr>
            <w:tcW w:w="1701" w:type="dxa"/>
            <w:gridSpan w:val="2"/>
          </w:tcPr>
          <w:p w14:paraId="5899CD83">
            <w:pPr>
              <w:spacing w:line="360" w:lineRule="auto"/>
              <w:jc w:val="center"/>
              <w:rPr>
                <w:rFonts w:eastAsia="楷体_GB2312"/>
                <w:color w:val="000000"/>
              </w:rPr>
            </w:pPr>
          </w:p>
        </w:tc>
        <w:tc>
          <w:tcPr>
            <w:tcW w:w="1701" w:type="dxa"/>
            <w:gridSpan w:val="3"/>
          </w:tcPr>
          <w:p w14:paraId="1F6E037E">
            <w:pPr>
              <w:spacing w:line="360" w:lineRule="auto"/>
              <w:jc w:val="center"/>
              <w:rPr>
                <w:rFonts w:eastAsia="楷体_GB2312"/>
                <w:color w:val="000000"/>
              </w:rPr>
            </w:pPr>
          </w:p>
        </w:tc>
      </w:tr>
      <w:tr w14:paraId="20B1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49F9D144">
            <w:pPr>
              <w:spacing w:line="360" w:lineRule="auto"/>
              <w:rPr>
                <w:rFonts w:eastAsia="楷体_GB2312"/>
                <w:color w:val="000000"/>
                <w:sz w:val="18"/>
              </w:rPr>
            </w:pPr>
            <w:r>
              <w:rPr>
                <w:rFonts w:eastAsia="楷体_GB2312"/>
                <w:color w:val="000000"/>
                <w:sz w:val="18"/>
                <w:szCs w:val="18"/>
              </w:rPr>
              <w:t>合格投资</w:t>
            </w:r>
          </w:p>
        </w:tc>
        <w:tc>
          <w:tcPr>
            <w:tcW w:w="1701" w:type="dxa"/>
            <w:gridSpan w:val="2"/>
          </w:tcPr>
          <w:p w14:paraId="0FDDEA82">
            <w:pPr>
              <w:spacing w:line="360" w:lineRule="auto"/>
              <w:jc w:val="center"/>
              <w:rPr>
                <w:rFonts w:eastAsia="楷体_GB2312"/>
                <w:color w:val="000000"/>
              </w:rPr>
            </w:pPr>
          </w:p>
        </w:tc>
        <w:tc>
          <w:tcPr>
            <w:tcW w:w="1701" w:type="dxa"/>
            <w:gridSpan w:val="3"/>
          </w:tcPr>
          <w:p w14:paraId="4F7A37AC">
            <w:pPr>
              <w:spacing w:line="360" w:lineRule="auto"/>
              <w:jc w:val="center"/>
              <w:rPr>
                <w:rFonts w:eastAsia="楷体_GB2312"/>
                <w:color w:val="000000"/>
              </w:rPr>
            </w:pPr>
          </w:p>
        </w:tc>
        <w:tc>
          <w:tcPr>
            <w:tcW w:w="1701" w:type="dxa"/>
            <w:gridSpan w:val="2"/>
          </w:tcPr>
          <w:p w14:paraId="1EB68F0A">
            <w:pPr>
              <w:spacing w:line="360" w:lineRule="auto"/>
              <w:jc w:val="center"/>
              <w:rPr>
                <w:rFonts w:eastAsia="楷体_GB2312"/>
                <w:color w:val="000000"/>
              </w:rPr>
            </w:pPr>
          </w:p>
        </w:tc>
        <w:tc>
          <w:tcPr>
            <w:tcW w:w="1701" w:type="dxa"/>
            <w:gridSpan w:val="3"/>
          </w:tcPr>
          <w:p w14:paraId="5C9A2608">
            <w:pPr>
              <w:spacing w:line="360" w:lineRule="auto"/>
              <w:jc w:val="center"/>
              <w:rPr>
                <w:rFonts w:eastAsia="楷体_GB2312"/>
                <w:color w:val="000000"/>
              </w:rPr>
            </w:pPr>
          </w:p>
        </w:tc>
      </w:tr>
      <w:tr w14:paraId="4348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gridSpan w:val="2"/>
          </w:tcPr>
          <w:p w14:paraId="659CBAF7">
            <w:pPr>
              <w:spacing w:line="360" w:lineRule="auto"/>
              <w:rPr>
                <w:rFonts w:eastAsia="楷体_GB2312"/>
                <w:color w:val="000000"/>
                <w:sz w:val="18"/>
                <w:szCs w:val="18"/>
              </w:rPr>
            </w:pPr>
            <w:r>
              <w:rPr>
                <w:rFonts w:eastAsia="楷体_GB2312"/>
                <w:b/>
                <w:color w:val="000000"/>
                <w:sz w:val="18"/>
                <w:szCs w:val="18"/>
              </w:rPr>
              <w:t>总计</w:t>
            </w:r>
          </w:p>
        </w:tc>
        <w:tc>
          <w:tcPr>
            <w:tcW w:w="1701" w:type="dxa"/>
            <w:gridSpan w:val="2"/>
          </w:tcPr>
          <w:p w14:paraId="48BD89F2">
            <w:pPr>
              <w:spacing w:line="360" w:lineRule="auto"/>
              <w:jc w:val="center"/>
              <w:rPr>
                <w:rFonts w:eastAsia="楷体_GB2312"/>
                <w:color w:val="000000"/>
              </w:rPr>
            </w:pPr>
          </w:p>
        </w:tc>
        <w:tc>
          <w:tcPr>
            <w:tcW w:w="1701" w:type="dxa"/>
            <w:gridSpan w:val="3"/>
          </w:tcPr>
          <w:p w14:paraId="2A61D831">
            <w:pPr>
              <w:spacing w:line="360" w:lineRule="auto"/>
              <w:jc w:val="center"/>
              <w:rPr>
                <w:rFonts w:eastAsia="楷体_GB2312"/>
                <w:color w:val="000000"/>
              </w:rPr>
            </w:pPr>
          </w:p>
        </w:tc>
        <w:tc>
          <w:tcPr>
            <w:tcW w:w="1701" w:type="dxa"/>
            <w:gridSpan w:val="2"/>
          </w:tcPr>
          <w:p w14:paraId="06AF8A06">
            <w:pPr>
              <w:spacing w:line="360" w:lineRule="auto"/>
              <w:jc w:val="center"/>
              <w:rPr>
                <w:rFonts w:eastAsia="楷体_GB2312"/>
                <w:color w:val="000000"/>
              </w:rPr>
            </w:pPr>
          </w:p>
        </w:tc>
        <w:tc>
          <w:tcPr>
            <w:tcW w:w="1701" w:type="dxa"/>
            <w:gridSpan w:val="3"/>
          </w:tcPr>
          <w:p w14:paraId="174EC0D4">
            <w:pPr>
              <w:spacing w:line="360" w:lineRule="auto"/>
              <w:jc w:val="center"/>
              <w:rPr>
                <w:rFonts w:eastAsia="楷体_GB2312"/>
                <w:color w:val="000000"/>
              </w:rPr>
            </w:pPr>
          </w:p>
        </w:tc>
      </w:tr>
    </w:tbl>
    <w:p w14:paraId="4683763C">
      <w:pPr>
        <w:spacing w:line="360" w:lineRule="auto"/>
        <w:rPr>
          <w:rFonts w:eastAsia="楷体_GB2312"/>
          <w:color w:val="000000"/>
        </w:rPr>
      </w:pPr>
    </w:p>
    <w:p w14:paraId="3C5BC3DF">
      <w:pPr>
        <w:spacing w:line="360" w:lineRule="auto"/>
        <w:rPr>
          <w:rFonts w:eastAsia="楷体_GB2312"/>
          <w:color w:val="000000"/>
        </w:rPr>
      </w:pPr>
    </w:p>
    <w:p w14:paraId="27762751">
      <w:pPr>
        <w:spacing w:line="360" w:lineRule="auto"/>
        <w:rPr>
          <w:rFonts w:eastAsia="楷体_GB2312"/>
          <w:color w:val="000000"/>
        </w:rPr>
      </w:pPr>
      <w:r>
        <w:rPr>
          <w:rFonts w:eastAsia="楷体_GB2312"/>
          <w:color w:val="000000"/>
        </w:rPr>
        <w:br w:type="page"/>
      </w:r>
    </w:p>
    <w:tbl>
      <w:tblPr>
        <w:tblStyle w:val="28"/>
        <w:tblW w:w="8647"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827"/>
        <w:gridCol w:w="3827"/>
      </w:tblGrid>
      <w:tr w14:paraId="75DB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8647" w:type="dxa"/>
            <w:gridSpan w:val="3"/>
            <w:tcBorders>
              <w:bottom w:val="single" w:color="auto" w:sz="4" w:space="0"/>
            </w:tcBorders>
          </w:tcPr>
          <w:p w14:paraId="7ACF1814">
            <w:pPr>
              <w:widowControl/>
              <w:spacing w:line="360" w:lineRule="auto"/>
              <w:ind w:left="-817" w:leftChars="-389" w:firstLine="956" w:firstLineChars="340"/>
              <w:jc w:val="center"/>
              <w:rPr>
                <w:rFonts w:eastAsia="楷体_GB2312"/>
                <w:b/>
                <w:color w:val="000000"/>
                <w:kern w:val="0"/>
                <w:sz w:val="24"/>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0C01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47" w:type="dxa"/>
            <w:gridSpan w:val="3"/>
            <w:shd w:val="clear" w:color="auto" w:fill="FFFFFF"/>
          </w:tcPr>
          <w:p w14:paraId="06880609">
            <w:pPr>
              <w:widowControl/>
              <w:spacing w:line="360" w:lineRule="auto"/>
              <w:rPr>
                <w:rFonts w:eastAsia="楷体_GB2312"/>
                <w:b/>
                <w:color w:val="000000"/>
              </w:rPr>
            </w:pPr>
            <w:r>
              <w:rPr>
                <w:rFonts w:eastAsia="楷体_GB2312"/>
                <w:b/>
                <w:color w:val="000000"/>
              </w:rPr>
              <w:t>四、资产池表现情况（续）</w:t>
            </w:r>
          </w:p>
          <w:p w14:paraId="2B5C38F3">
            <w:pPr>
              <w:widowControl/>
              <w:spacing w:line="360" w:lineRule="auto"/>
              <w:rPr>
                <w:rFonts w:eastAsia="楷体_GB2312"/>
                <w:b/>
                <w:bCs/>
                <w:color w:val="000000"/>
                <w:kern w:val="0"/>
              </w:rPr>
            </w:pPr>
            <w:r>
              <w:rPr>
                <w:rFonts w:eastAsia="楷体_GB2312"/>
                <w:b/>
                <w:color w:val="000000"/>
              </w:rPr>
              <w:t>（四）资产池现金流出情况</w:t>
            </w:r>
          </w:p>
        </w:tc>
      </w:tr>
      <w:tr w14:paraId="601E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tcPr>
          <w:p w14:paraId="3184C277">
            <w:pPr>
              <w:widowControl/>
              <w:spacing w:line="360" w:lineRule="auto"/>
              <w:rPr>
                <w:rFonts w:eastAsia="楷体_GB2312"/>
                <w:color w:val="000000"/>
                <w:kern w:val="0"/>
                <w:sz w:val="18"/>
                <w:szCs w:val="18"/>
              </w:rPr>
            </w:pPr>
          </w:p>
        </w:tc>
        <w:tc>
          <w:tcPr>
            <w:tcW w:w="3827" w:type="dxa"/>
          </w:tcPr>
          <w:p w14:paraId="4D251477">
            <w:pPr>
              <w:widowControl/>
              <w:spacing w:line="360" w:lineRule="auto"/>
              <w:jc w:val="center"/>
              <w:rPr>
                <w:rFonts w:eastAsia="楷体_GB2312"/>
                <w:b/>
                <w:bCs/>
                <w:color w:val="000000"/>
                <w:kern w:val="0"/>
                <w:sz w:val="18"/>
                <w:szCs w:val="18"/>
              </w:rPr>
            </w:pPr>
            <w:r>
              <w:rPr>
                <w:rFonts w:eastAsia="楷体_GB2312"/>
                <w:b/>
                <w:bCs/>
                <w:color w:val="000000"/>
                <w:kern w:val="0"/>
                <w:sz w:val="18"/>
                <w:szCs w:val="18"/>
              </w:rPr>
              <w:t>科目</w:t>
            </w:r>
          </w:p>
        </w:tc>
        <w:tc>
          <w:tcPr>
            <w:tcW w:w="3827" w:type="dxa"/>
            <w:shd w:val="clear" w:color="auto" w:fill="FFFFFF"/>
          </w:tcPr>
          <w:p w14:paraId="228EECC7">
            <w:pPr>
              <w:widowControl/>
              <w:spacing w:line="360" w:lineRule="auto"/>
              <w:jc w:val="center"/>
              <w:rPr>
                <w:rFonts w:eastAsia="楷体_GB2312"/>
                <w:b/>
                <w:bCs/>
                <w:color w:val="000000"/>
                <w:kern w:val="0"/>
                <w:sz w:val="18"/>
                <w:szCs w:val="18"/>
              </w:rPr>
            </w:pPr>
            <w:r>
              <w:rPr>
                <w:rFonts w:eastAsia="楷体_GB2312"/>
                <w:b/>
                <w:bCs/>
                <w:color w:val="000000"/>
                <w:kern w:val="0"/>
                <w:sz w:val="18"/>
                <w:szCs w:val="18"/>
              </w:rPr>
              <w:t>本报告期</w:t>
            </w:r>
          </w:p>
        </w:tc>
      </w:tr>
      <w:tr w14:paraId="5CE2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restart"/>
          </w:tcPr>
          <w:p w14:paraId="06D8F132">
            <w:pPr>
              <w:spacing w:line="360" w:lineRule="auto"/>
              <w:rPr>
                <w:rFonts w:eastAsia="楷体_GB2312"/>
                <w:color w:val="000000"/>
                <w:kern w:val="0"/>
                <w:sz w:val="18"/>
                <w:szCs w:val="18"/>
              </w:rPr>
            </w:pPr>
            <w:r>
              <w:rPr>
                <w:rFonts w:eastAsia="楷体_GB2312"/>
                <w:color w:val="000000"/>
                <w:kern w:val="0"/>
                <w:sz w:val="18"/>
                <w:szCs w:val="18"/>
              </w:rPr>
              <w:t>税费支出</w:t>
            </w:r>
          </w:p>
        </w:tc>
        <w:tc>
          <w:tcPr>
            <w:tcW w:w="3827" w:type="dxa"/>
            <w:tcBorders>
              <w:bottom w:val="single" w:color="auto" w:sz="4" w:space="0"/>
            </w:tcBorders>
          </w:tcPr>
          <w:p w14:paraId="4BA9B9EB">
            <w:pPr>
              <w:widowControl/>
              <w:spacing w:line="360" w:lineRule="auto"/>
              <w:rPr>
                <w:rFonts w:eastAsia="楷体_GB2312"/>
                <w:color w:val="000000"/>
                <w:kern w:val="0"/>
                <w:sz w:val="18"/>
                <w:szCs w:val="18"/>
              </w:rPr>
            </w:pPr>
            <w:r>
              <w:rPr>
                <w:rFonts w:eastAsia="楷体_GB2312"/>
                <w:color w:val="000000"/>
                <w:kern w:val="0"/>
                <w:sz w:val="18"/>
                <w:szCs w:val="18"/>
              </w:rPr>
              <w:t>税收</w:t>
            </w:r>
          </w:p>
        </w:tc>
        <w:tc>
          <w:tcPr>
            <w:tcW w:w="3827" w:type="dxa"/>
            <w:tcBorders>
              <w:bottom w:val="single" w:color="auto" w:sz="4" w:space="0"/>
            </w:tcBorders>
          </w:tcPr>
          <w:p w14:paraId="494E5366">
            <w:pPr>
              <w:widowControl/>
              <w:spacing w:line="360" w:lineRule="auto"/>
              <w:jc w:val="center"/>
              <w:rPr>
                <w:rFonts w:eastAsia="楷体_GB2312"/>
                <w:b/>
                <w:bCs/>
                <w:color w:val="000000"/>
                <w:kern w:val="0"/>
                <w:sz w:val="18"/>
                <w:szCs w:val="18"/>
              </w:rPr>
            </w:pPr>
          </w:p>
        </w:tc>
      </w:tr>
      <w:tr w14:paraId="6B64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6ED25807">
            <w:pPr>
              <w:widowControl/>
              <w:spacing w:line="360" w:lineRule="auto"/>
              <w:rPr>
                <w:rFonts w:eastAsia="楷体_GB2312"/>
                <w:color w:val="000000"/>
                <w:kern w:val="0"/>
                <w:sz w:val="18"/>
                <w:szCs w:val="18"/>
              </w:rPr>
            </w:pPr>
          </w:p>
        </w:tc>
        <w:tc>
          <w:tcPr>
            <w:tcW w:w="3827" w:type="dxa"/>
            <w:tcBorders>
              <w:bottom w:val="single" w:color="auto" w:sz="4" w:space="0"/>
            </w:tcBorders>
          </w:tcPr>
          <w:p w14:paraId="1687EE58">
            <w:pPr>
              <w:widowControl/>
              <w:spacing w:line="360" w:lineRule="auto"/>
              <w:rPr>
                <w:rFonts w:eastAsia="楷体_GB2312"/>
                <w:color w:val="000000"/>
                <w:kern w:val="0"/>
                <w:sz w:val="18"/>
                <w:szCs w:val="18"/>
              </w:rPr>
            </w:pPr>
            <w:r>
              <w:rPr>
                <w:rFonts w:eastAsia="楷体_GB2312"/>
                <w:color w:val="000000"/>
                <w:kern w:val="0"/>
                <w:sz w:val="18"/>
                <w:szCs w:val="18"/>
              </w:rPr>
              <w:t>代理兑付费用</w:t>
            </w:r>
          </w:p>
        </w:tc>
        <w:tc>
          <w:tcPr>
            <w:tcW w:w="3827" w:type="dxa"/>
            <w:tcBorders>
              <w:bottom w:val="single" w:color="auto" w:sz="4" w:space="0"/>
            </w:tcBorders>
          </w:tcPr>
          <w:p w14:paraId="77CF6BB9">
            <w:pPr>
              <w:widowControl/>
              <w:spacing w:line="360" w:lineRule="auto"/>
              <w:jc w:val="right"/>
              <w:rPr>
                <w:rFonts w:eastAsia="楷体_GB2312"/>
                <w:b/>
                <w:bCs/>
                <w:color w:val="000000"/>
                <w:kern w:val="0"/>
                <w:sz w:val="18"/>
                <w:szCs w:val="18"/>
              </w:rPr>
            </w:pPr>
          </w:p>
        </w:tc>
      </w:tr>
      <w:tr w14:paraId="41D4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0DD5DEDB">
            <w:pPr>
              <w:widowControl/>
              <w:spacing w:line="360" w:lineRule="auto"/>
              <w:rPr>
                <w:rFonts w:eastAsia="楷体_GB2312"/>
                <w:color w:val="000000"/>
                <w:kern w:val="0"/>
                <w:sz w:val="18"/>
                <w:szCs w:val="18"/>
              </w:rPr>
            </w:pPr>
          </w:p>
        </w:tc>
        <w:tc>
          <w:tcPr>
            <w:tcW w:w="3827" w:type="dxa"/>
            <w:tcBorders>
              <w:bottom w:val="single" w:color="auto" w:sz="4" w:space="0"/>
            </w:tcBorders>
          </w:tcPr>
          <w:p w14:paraId="60D33C1E">
            <w:pPr>
              <w:widowControl/>
              <w:spacing w:line="360" w:lineRule="auto"/>
              <w:rPr>
                <w:rFonts w:eastAsia="楷体_GB2312"/>
                <w:color w:val="000000"/>
                <w:kern w:val="0"/>
                <w:sz w:val="18"/>
                <w:szCs w:val="18"/>
              </w:rPr>
            </w:pPr>
            <w:r>
              <w:rPr>
                <w:rFonts w:eastAsia="楷体_GB2312"/>
                <w:color w:val="000000"/>
                <w:kern w:val="0"/>
                <w:sz w:val="18"/>
                <w:szCs w:val="18"/>
              </w:rPr>
              <w:t>发行费用</w:t>
            </w:r>
          </w:p>
        </w:tc>
        <w:tc>
          <w:tcPr>
            <w:tcW w:w="3827" w:type="dxa"/>
            <w:tcBorders>
              <w:bottom w:val="single" w:color="auto" w:sz="4" w:space="0"/>
            </w:tcBorders>
          </w:tcPr>
          <w:p w14:paraId="22B62C75">
            <w:pPr>
              <w:widowControl/>
              <w:spacing w:line="360" w:lineRule="auto"/>
              <w:jc w:val="right"/>
              <w:rPr>
                <w:rFonts w:eastAsia="楷体_GB2312"/>
                <w:b/>
                <w:bCs/>
                <w:color w:val="000000"/>
                <w:kern w:val="0"/>
                <w:sz w:val="18"/>
                <w:szCs w:val="18"/>
              </w:rPr>
            </w:pPr>
          </w:p>
        </w:tc>
      </w:tr>
      <w:tr w14:paraId="5991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084E8903">
            <w:pPr>
              <w:widowControl/>
              <w:spacing w:line="360" w:lineRule="auto"/>
              <w:rPr>
                <w:rFonts w:eastAsia="楷体_GB2312"/>
                <w:color w:val="000000"/>
                <w:kern w:val="0"/>
                <w:sz w:val="18"/>
                <w:szCs w:val="18"/>
              </w:rPr>
            </w:pPr>
          </w:p>
        </w:tc>
        <w:tc>
          <w:tcPr>
            <w:tcW w:w="3827" w:type="dxa"/>
            <w:tcBorders>
              <w:bottom w:val="single" w:color="auto" w:sz="4" w:space="0"/>
            </w:tcBorders>
          </w:tcPr>
          <w:p w14:paraId="47EAE02D">
            <w:pPr>
              <w:widowControl/>
              <w:spacing w:line="360" w:lineRule="auto"/>
              <w:rPr>
                <w:rFonts w:eastAsia="楷体_GB2312"/>
                <w:color w:val="000000"/>
                <w:kern w:val="0"/>
                <w:sz w:val="18"/>
                <w:szCs w:val="18"/>
              </w:rPr>
            </w:pPr>
            <w:r>
              <w:rPr>
                <w:rFonts w:eastAsia="楷体_GB2312"/>
                <w:color w:val="000000"/>
                <w:kern w:val="0"/>
                <w:sz w:val="18"/>
                <w:szCs w:val="18"/>
              </w:rPr>
              <w:t>受托机构报酬</w:t>
            </w:r>
          </w:p>
        </w:tc>
        <w:tc>
          <w:tcPr>
            <w:tcW w:w="3827" w:type="dxa"/>
            <w:tcBorders>
              <w:bottom w:val="single" w:color="auto" w:sz="4" w:space="0"/>
            </w:tcBorders>
          </w:tcPr>
          <w:p w14:paraId="18A6FF02">
            <w:pPr>
              <w:widowControl/>
              <w:spacing w:line="360" w:lineRule="auto"/>
              <w:jc w:val="right"/>
              <w:rPr>
                <w:rFonts w:eastAsia="楷体_GB2312"/>
                <w:b/>
                <w:bCs/>
                <w:color w:val="000000"/>
                <w:kern w:val="0"/>
                <w:sz w:val="18"/>
                <w:szCs w:val="18"/>
              </w:rPr>
            </w:pPr>
          </w:p>
        </w:tc>
      </w:tr>
      <w:tr w14:paraId="6B2C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45007E9D">
            <w:pPr>
              <w:widowControl/>
              <w:spacing w:line="360" w:lineRule="auto"/>
              <w:rPr>
                <w:rFonts w:eastAsia="楷体_GB2312"/>
                <w:color w:val="000000"/>
                <w:kern w:val="0"/>
                <w:sz w:val="18"/>
                <w:szCs w:val="18"/>
              </w:rPr>
            </w:pPr>
          </w:p>
        </w:tc>
        <w:tc>
          <w:tcPr>
            <w:tcW w:w="3827" w:type="dxa"/>
            <w:tcBorders>
              <w:bottom w:val="single" w:color="auto" w:sz="4" w:space="0"/>
            </w:tcBorders>
          </w:tcPr>
          <w:p w14:paraId="3F0616FD">
            <w:pPr>
              <w:widowControl/>
              <w:spacing w:line="360" w:lineRule="auto"/>
              <w:rPr>
                <w:rFonts w:eastAsia="楷体_GB2312"/>
                <w:color w:val="000000"/>
                <w:kern w:val="0"/>
                <w:sz w:val="18"/>
                <w:szCs w:val="18"/>
              </w:rPr>
            </w:pPr>
            <w:r>
              <w:rPr>
                <w:rFonts w:eastAsia="楷体_GB2312"/>
                <w:color w:val="000000"/>
                <w:kern w:val="0"/>
                <w:sz w:val="18"/>
                <w:szCs w:val="18"/>
              </w:rPr>
              <w:t>资金保管机构报酬</w:t>
            </w:r>
          </w:p>
        </w:tc>
        <w:tc>
          <w:tcPr>
            <w:tcW w:w="3827" w:type="dxa"/>
            <w:tcBorders>
              <w:bottom w:val="single" w:color="auto" w:sz="4" w:space="0"/>
            </w:tcBorders>
          </w:tcPr>
          <w:p w14:paraId="67ACCC76">
            <w:pPr>
              <w:widowControl/>
              <w:spacing w:line="360" w:lineRule="auto"/>
              <w:jc w:val="right"/>
              <w:rPr>
                <w:rFonts w:eastAsia="楷体_GB2312"/>
                <w:b/>
                <w:bCs/>
                <w:color w:val="000000"/>
                <w:kern w:val="0"/>
                <w:sz w:val="18"/>
                <w:szCs w:val="18"/>
              </w:rPr>
            </w:pPr>
          </w:p>
        </w:tc>
      </w:tr>
      <w:tr w14:paraId="1833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2F1892FD">
            <w:pPr>
              <w:widowControl/>
              <w:spacing w:line="360" w:lineRule="auto"/>
              <w:rPr>
                <w:rFonts w:eastAsia="楷体_GB2312"/>
                <w:color w:val="000000"/>
                <w:kern w:val="0"/>
                <w:sz w:val="18"/>
                <w:szCs w:val="18"/>
              </w:rPr>
            </w:pPr>
          </w:p>
        </w:tc>
        <w:tc>
          <w:tcPr>
            <w:tcW w:w="3827" w:type="dxa"/>
            <w:tcBorders>
              <w:bottom w:val="single" w:color="auto" w:sz="4" w:space="0"/>
            </w:tcBorders>
          </w:tcPr>
          <w:p w14:paraId="5CCBD158">
            <w:pPr>
              <w:widowControl/>
              <w:spacing w:line="360" w:lineRule="auto"/>
              <w:rPr>
                <w:rFonts w:eastAsia="楷体_GB2312"/>
                <w:color w:val="000000"/>
                <w:kern w:val="0"/>
                <w:sz w:val="18"/>
                <w:szCs w:val="18"/>
              </w:rPr>
            </w:pPr>
            <w:r>
              <w:rPr>
                <w:rFonts w:eastAsia="楷体_GB2312"/>
                <w:color w:val="000000"/>
                <w:kern w:val="0"/>
                <w:sz w:val="18"/>
                <w:szCs w:val="18"/>
              </w:rPr>
              <w:t>处置费用</w:t>
            </w:r>
          </w:p>
        </w:tc>
        <w:tc>
          <w:tcPr>
            <w:tcW w:w="3827" w:type="dxa"/>
            <w:tcBorders>
              <w:bottom w:val="single" w:color="auto" w:sz="4" w:space="0"/>
            </w:tcBorders>
          </w:tcPr>
          <w:p w14:paraId="122B0A38">
            <w:pPr>
              <w:widowControl/>
              <w:spacing w:line="360" w:lineRule="auto"/>
              <w:jc w:val="right"/>
              <w:rPr>
                <w:rFonts w:eastAsia="楷体_GB2312"/>
                <w:b/>
                <w:bCs/>
                <w:color w:val="000000"/>
                <w:kern w:val="0"/>
                <w:sz w:val="18"/>
                <w:szCs w:val="18"/>
              </w:rPr>
            </w:pPr>
          </w:p>
        </w:tc>
      </w:tr>
      <w:tr w14:paraId="4B8A2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12754A16">
            <w:pPr>
              <w:widowControl/>
              <w:spacing w:line="360" w:lineRule="auto"/>
              <w:rPr>
                <w:rFonts w:eastAsia="楷体_GB2312"/>
                <w:color w:val="000000"/>
                <w:kern w:val="0"/>
                <w:sz w:val="18"/>
                <w:szCs w:val="18"/>
              </w:rPr>
            </w:pPr>
          </w:p>
        </w:tc>
        <w:tc>
          <w:tcPr>
            <w:tcW w:w="3827" w:type="dxa"/>
            <w:tcBorders>
              <w:bottom w:val="single" w:color="auto" w:sz="4" w:space="0"/>
            </w:tcBorders>
          </w:tcPr>
          <w:p w14:paraId="38A7EA29">
            <w:pPr>
              <w:widowControl/>
              <w:spacing w:line="360" w:lineRule="auto"/>
              <w:rPr>
                <w:rFonts w:eastAsia="楷体_GB2312"/>
                <w:color w:val="000000"/>
                <w:kern w:val="0"/>
                <w:sz w:val="18"/>
                <w:szCs w:val="18"/>
              </w:rPr>
            </w:pPr>
            <w:r>
              <w:rPr>
                <w:rFonts w:eastAsia="楷体_GB2312"/>
                <w:color w:val="000000"/>
                <w:kern w:val="0"/>
                <w:sz w:val="18"/>
                <w:szCs w:val="18"/>
              </w:rPr>
              <w:t>贷款服务机构报酬</w:t>
            </w:r>
          </w:p>
        </w:tc>
        <w:tc>
          <w:tcPr>
            <w:tcW w:w="3827" w:type="dxa"/>
            <w:tcBorders>
              <w:bottom w:val="single" w:color="auto" w:sz="4" w:space="0"/>
            </w:tcBorders>
          </w:tcPr>
          <w:p w14:paraId="1CCEFB44">
            <w:pPr>
              <w:widowControl/>
              <w:spacing w:line="360" w:lineRule="auto"/>
              <w:jc w:val="right"/>
              <w:rPr>
                <w:rFonts w:eastAsia="楷体_GB2312"/>
                <w:b/>
                <w:bCs/>
                <w:color w:val="000000"/>
                <w:kern w:val="0"/>
                <w:sz w:val="18"/>
                <w:szCs w:val="18"/>
              </w:rPr>
            </w:pPr>
          </w:p>
        </w:tc>
      </w:tr>
      <w:tr w14:paraId="2428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0E16BA78">
            <w:pPr>
              <w:widowControl/>
              <w:spacing w:line="360" w:lineRule="auto"/>
              <w:rPr>
                <w:rFonts w:eastAsia="楷体_GB2312"/>
                <w:color w:val="000000"/>
                <w:kern w:val="0"/>
                <w:sz w:val="18"/>
                <w:szCs w:val="18"/>
              </w:rPr>
            </w:pPr>
          </w:p>
        </w:tc>
        <w:tc>
          <w:tcPr>
            <w:tcW w:w="3827" w:type="dxa"/>
            <w:tcBorders>
              <w:bottom w:val="single" w:color="auto" w:sz="4" w:space="0"/>
            </w:tcBorders>
          </w:tcPr>
          <w:p w14:paraId="18FC4079">
            <w:pPr>
              <w:widowControl/>
              <w:spacing w:line="360" w:lineRule="auto"/>
              <w:rPr>
                <w:rFonts w:eastAsia="楷体_GB2312"/>
                <w:color w:val="000000"/>
                <w:kern w:val="0"/>
                <w:sz w:val="18"/>
                <w:szCs w:val="18"/>
              </w:rPr>
            </w:pPr>
            <w:r>
              <w:rPr>
                <w:rFonts w:eastAsia="楷体_GB2312"/>
                <w:color w:val="000000"/>
                <w:kern w:val="0"/>
                <w:sz w:val="18"/>
                <w:szCs w:val="18"/>
              </w:rPr>
              <w:t>审计费</w:t>
            </w:r>
          </w:p>
        </w:tc>
        <w:tc>
          <w:tcPr>
            <w:tcW w:w="3827" w:type="dxa"/>
            <w:tcBorders>
              <w:bottom w:val="single" w:color="auto" w:sz="4" w:space="0"/>
            </w:tcBorders>
          </w:tcPr>
          <w:p w14:paraId="2042223F">
            <w:pPr>
              <w:widowControl/>
              <w:spacing w:line="360" w:lineRule="auto"/>
              <w:jc w:val="right"/>
              <w:rPr>
                <w:rFonts w:eastAsia="楷体_GB2312"/>
                <w:b/>
                <w:bCs/>
                <w:color w:val="000000"/>
                <w:kern w:val="0"/>
                <w:sz w:val="18"/>
                <w:szCs w:val="18"/>
              </w:rPr>
            </w:pPr>
          </w:p>
        </w:tc>
      </w:tr>
      <w:tr w14:paraId="5F08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45640F54">
            <w:pPr>
              <w:widowControl/>
              <w:spacing w:line="360" w:lineRule="auto"/>
              <w:rPr>
                <w:rFonts w:eastAsia="楷体_GB2312"/>
                <w:color w:val="000000"/>
                <w:kern w:val="0"/>
                <w:sz w:val="18"/>
                <w:szCs w:val="18"/>
              </w:rPr>
            </w:pPr>
          </w:p>
        </w:tc>
        <w:tc>
          <w:tcPr>
            <w:tcW w:w="3827" w:type="dxa"/>
            <w:tcBorders>
              <w:bottom w:val="single" w:color="auto" w:sz="4" w:space="0"/>
            </w:tcBorders>
          </w:tcPr>
          <w:p w14:paraId="2AACF171">
            <w:pPr>
              <w:widowControl/>
              <w:spacing w:line="360" w:lineRule="auto"/>
              <w:rPr>
                <w:rFonts w:eastAsia="楷体_GB2312"/>
                <w:color w:val="000000"/>
                <w:kern w:val="0"/>
                <w:sz w:val="18"/>
                <w:szCs w:val="18"/>
              </w:rPr>
            </w:pPr>
            <w:r>
              <w:rPr>
                <w:rFonts w:eastAsia="楷体_GB2312"/>
                <w:color w:val="000000"/>
                <w:kern w:val="0"/>
                <w:sz w:val="18"/>
                <w:szCs w:val="18"/>
              </w:rPr>
              <w:t>跟踪评级服务费</w:t>
            </w:r>
          </w:p>
        </w:tc>
        <w:tc>
          <w:tcPr>
            <w:tcW w:w="3827" w:type="dxa"/>
            <w:tcBorders>
              <w:bottom w:val="single" w:color="auto" w:sz="4" w:space="0"/>
            </w:tcBorders>
          </w:tcPr>
          <w:p w14:paraId="47B7536B">
            <w:pPr>
              <w:widowControl/>
              <w:spacing w:line="360" w:lineRule="auto"/>
              <w:jc w:val="right"/>
              <w:rPr>
                <w:rFonts w:eastAsia="楷体_GB2312"/>
                <w:b/>
                <w:bCs/>
                <w:color w:val="000000"/>
                <w:kern w:val="0"/>
                <w:sz w:val="18"/>
                <w:szCs w:val="18"/>
              </w:rPr>
            </w:pPr>
          </w:p>
        </w:tc>
      </w:tr>
      <w:tr w14:paraId="54F3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Borders>
              <w:bottom w:val="single" w:color="auto" w:sz="4" w:space="0"/>
            </w:tcBorders>
          </w:tcPr>
          <w:p w14:paraId="5138AA7F">
            <w:pPr>
              <w:widowControl/>
              <w:spacing w:line="360" w:lineRule="auto"/>
              <w:rPr>
                <w:rFonts w:eastAsia="楷体_GB2312"/>
                <w:color w:val="000000"/>
                <w:kern w:val="0"/>
                <w:sz w:val="18"/>
                <w:szCs w:val="18"/>
              </w:rPr>
            </w:pPr>
          </w:p>
        </w:tc>
        <w:tc>
          <w:tcPr>
            <w:tcW w:w="3827" w:type="dxa"/>
            <w:tcBorders>
              <w:bottom w:val="single" w:color="auto" w:sz="4" w:space="0"/>
            </w:tcBorders>
          </w:tcPr>
          <w:p w14:paraId="05F1B25E">
            <w:pPr>
              <w:widowControl/>
              <w:spacing w:line="360" w:lineRule="auto"/>
              <w:rPr>
                <w:rFonts w:eastAsia="楷体_GB2312"/>
                <w:color w:val="000000"/>
                <w:kern w:val="0"/>
                <w:sz w:val="18"/>
                <w:szCs w:val="18"/>
              </w:rPr>
            </w:pPr>
            <w:r>
              <w:rPr>
                <w:rFonts w:eastAsia="楷体_GB2312"/>
                <w:color w:val="000000"/>
                <w:kern w:val="0"/>
                <w:sz w:val="18"/>
                <w:szCs w:val="18"/>
              </w:rPr>
              <w:t>其他费用支出（注1、注2）</w:t>
            </w:r>
          </w:p>
        </w:tc>
        <w:tc>
          <w:tcPr>
            <w:tcW w:w="3827" w:type="dxa"/>
            <w:tcBorders>
              <w:bottom w:val="single" w:color="auto" w:sz="4" w:space="0"/>
            </w:tcBorders>
          </w:tcPr>
          <w:p w14:paraId="245466AA">
            <w:pPr>
              <w:widowControl/>
              <w:spacing w:line="360" w:lineRule="auto"/>
              <w:jc w:val="right"/>
              <w:rPr>
                <w:rFonts w:eastAsia="楷体_GB2312"/>
                <w:b/>
                <w:bCs/>
                <w:color w:val="000000"/>
                <w:kern w:val="0"/>
                <w:sz w:val="18"/>
                <w:szCs w:val="18"/>
              </w:rPr>
            </w:pPr>
          </w:p>
        </w:tc>
      </w:tr>
      <w:tr w14:paraId="4E19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restart"/>
          </w:tcPr>
          <w:p w14:paraId="144AE66B">
            <w:pPr>
              <w:widowControl/>
              <w:spacing w:line="360" w:lineRule="auto"/>
              <w:rPr>
                <w:rFonts w:eastAsia="楷体_GB2312"/>
                <w:color w:val="000000"/>
                <w:kern w:val="0"/>
                <w:sz w:val="18"/>
                <w:szCs w:val="18"/>
              </w:rPr>
            </w:pPr>
            <w:r>
              <w:rPr>
                <w:rFonts w:eastAsia="楷体_GB2312"/>
                <w:color w:val="000000"/>
                <w:kern w:val="0"/>
                <w:sz w:val="18"/>
                <w:szCs w:val="18"/>
              </w:rPr>
              <w:t>证券兑付</w:t>
            </w:r>
          </w:p>
        </w:tc>
        <w:tc>
          <w:tcPr>
            <w:tcW w:w="3827" w:type="dxa"/>
            <w:tcBorders>
              <w:bottom w:val="single" w:color="auto" w:sz="4" w:space="0"/>
            </w:tcBorders>
          </w:tcPr>
          <w:p w14:paraId="18764AA6">
            <w:pPr>
              <w:widowControl/>
              <w:spacing w:line="360" w:lineRule="auto"/>
              <w:rPr>
                <w:rFonts w:eastAsia="楷体_GB2312"/>
                <w:color w:val="000000"/>
                <w:kern w:val="0"/>
                <w:sz w:val="18"/>
                <w:szCs w:val="18"/>
              </w:rPr>
            </w:pPr>
            <w:r>
              <w:rPr>
                <w:rFonts w:eastAsia="楷体_GB2312"/>
                <w:color w:val="000000"/>
                <w:kern w:val="0"/>
                <w:sz w:val="18"/>
                <w:szCs w:val="18"/>
              </w:rPr>
              <w:t>证券利息总支出</w:t>
            </w:r>
          </w:p>
        </w:tc>
        <w:tc>
          <w:tcPr>
            <w:tcW w:w="3827" w:type="dxa"/>
            <w:tcBorders>
              <w:bottom w:val="single" w:color="auto" w:sz="4" w:space="0"/>
            </w:tcBorders>
          </w:tcPr>
          <w:p w14:paraId="0D1A897D">
            <w:pPr>
              <w:widowControl/>
              <w:spacing w:line="360" w:lineRule="auto"/>
              <w:jc w:val="right"/>
              <w:rPr>
                <w:rFonts w:eastAsia="楷体_GB2312"/>
                <w:b/>
                <w:bCs/>
                <w:color w:val="000000"/>
                <w:kern w:val="0"/>
                <w:sz w:val="18"/>
                <w:szCs w:val="18"/>
              </w:rPr>
            </w:pPr>
          </w:p>
        </w:tc>
      </w:tr>
      <w:tr w14:paraId="2458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3B1E7826">
            <w:pPr>
              <w:widowControl/>
              <w:spacing w:line="360" w:lineRule="auto"/>
              <w:rPr>
                <w:rFonts w:eastAsia="楷体_GB2312"/>
                <w:color w:val="000000"/>
                <w:kern w:val="0"/>
                <w:sz w:val="18"/>
                <w:szCs w:val="18"/>
              </w:rPr>
            </w:pPr>
          </w:p>
        </w:tc>
        <w:tc>
          <w:tcPr>
            <w:tcW w:w="3827" w:type="dxa"/>
            <w:tcBorders>
              <w:bottom w:val="single" w:color="auto" w:sz="4" w:space="0"/>
            </w:tcBorders>
          </w:tcPr>
          <w:p w14:paraId="1AF42DD6">
            <w:pPr>
              <w:widowControl/>
              <w:spacing w:line="360" w:lineRule="auto"/>
              <w:rPr>
                <w:rFonts w:eastAsia="楷体_GB2312"/>
                <w:color w:val="000000"/>
                <w:kern w:val="0"/>
                <w:sz w:val="18"/>
                <w:szCs w:val="18"/>
              </w:rPr>
            </w:pPr>
            <w:r>
              <w:rPr>
                <w:rFonts w:eastAsia="楷体_GB2312"/>
                <w:color w:val="000000"/>
                <w:kern w:val="0"/>
                <w:sz w:val="18"/>
                <w:szCs w:val="18"/>
              </w:rPr>
              <w:t>证券本金总支出</w:t>
            </w:r>
          </w:p>
        </w:tc>
        <w:tc>
          <w:tcPr>
            <w:tcW w:w="3827" w:type="dxa"/>
            <w:tcBorders>
              <w:bottom w:val="single" w:color="auto" w:sz="4" w:space="0"/>
            </w:tcBorders>
          </w:tcPr>
          <w:p w14:paraId="248F3107">
            <w:pPr>
              <w:widowControl/>
              <w:spacing w:line="360" w:lineRule="auto"/>
              <w:jc w:val="right"/>
              <w:rPr>
                <w:rFonts w:eastAsia="楷体_GB2312"/>
                <w:b/>
                <w:bCs/>
                <w:color w:val="000000"/>
                <w:kern w:val="0"/>
                <w:sz w:val="18"/>
                <w:szCs w:val="18"/>
              </w:rPr>
            </w:pPr>
          </w:p>
        </w:tc>
      </w:tr>
      <w:tr w14:paraId="0E62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76547165">
            <w:pPr>
              <w:widowControl/>
              <w:spacing w:line="360" w:lineRule="auto"/>
              <w:rPr>
                <w:rFonts w:eastAsia="楷体_GB2312"/>
                <w:color w:val="000000"/>
                <w:kern w:val="0"/>
                <w:sz w:val="18"/>
                <w:szCs w:val="18"/>
              </w:rPr>
            </w:pPr>
          </w:p>
        </w:tc>
        <w:tc>
          <w:tcPr>
            <w:tcW w:w="3827" w:type="dxa"/>
          </w:tcPr>
          <w:p w14:paraId="208F3597">
            <w:pPr>
              <w:widowControl/>
              <w:spacing w:line="360" w:lineRule="auto"/>
              <w:rPr>
                <w:rFonts w:eastAsia="楷体_GB2312"/>
                <w:color w:val="000000"/>
                <w:kern w:val="0"/>
                <w:sz w:val="18"/>
                <w:szCs w:val="18"/>
              </w:rPr>
            </w:pPr>
            <w:r>
              <w:rPr>
                <w:rFonts w:eastAsia="楷体_GB2312"/>
                <w:color w:val="000000"/>
                <w:kern w:val="0"/>
                <w:sz w:val="18"/>
                <w:szCs w:val="18"/>
              </w:rPr>
              <w:t>次级超额收益</w:t>
            </w:r>
          </w:p>
        </w:tc>
        <w:tc>
          <w:tcPr>
            <w:tcW w:w="3827" w:type="dxa"/>
          </w:tcPr>
          <w:p w14:paraId="3107AC1C">
            <w:pPr>
              <w:widowControl/>
              <w:spacing w:line="360" w:lineRule="auto"/>
              <w:jc w:val="right"/>
              <w:rPr>
                <w:rFonts w:eastAsia="楷体_GB2312"/>
                <w:b/>
                <w:bCs/>
                <w:color w:val="000000"/>
                <w:kern w:val="0"/>
                <w:sz w:val="18"/>
                <w:szCs w:val="18"/>
              </w:rPr>
            </w:pPr>
          </w:p>
        </w:tc>
      </w:tr>
      <w:tr w14:paraId="6141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3" w:type="dxa"/>
            <w:vMerge w:val="continue"/>
          </w:tcPr>
          <w:p w14:paraId="75114C5F">
            <w:pPr>
              <w:widowControl/>
              <w:spacing w:line="360" w:lineRule="auto"/>
              <w:rPr>
                <w:rFonts w:eastAsia="楷体_GB2312"/>
                <w:color w:val="000000"/>
                <w:kern w:val="0"/>
                <w:sz w:val="18"/>
                <w:szCs w:val="18"/>
              </w:rPr>
            </w:pPr>
          </w:p>
        </w:tc>
        <w:tc>
          <w:tcPr>
            <w:tcW w:w="3827" w:type="dxa"/>
          </w:tcPr>
          <w:p w14:paraId="33ABCBE7">
            <w:pPr>
              <w:widowControl/>
              <w:spacing w:line="360" w:lineRule="auto"/>
              <w:rPr>
                <w:rFonts w:eastAsia="楷体_GB2312"/>
                <w:sz w:val="18"/>
                <w:szCs w:val="18"/>
              </w:rPr>
            </w:pPr>
            <w:r>
              <w:rPr>
                <w:rFonts w:eastAsia="楷体_GB2312"/>
                <w:sz w:val="18"/>
                <w:szCs w:val="18"/>
              </w:rPr>
              <w:t>收益</w:t>
            </w:r>
          </w:p>
        </w:tc>
        <w:tc>
          <w:tcPr>
            <w:tcW w:w="3827" w:type="dxa"/>
          </w:tcPr>
          <w:p w14:paraId="60BA2C44">
            <w:pPr>
              <w:widowControl/>
              <w:spacing w:line="360" w:lineRule="auto"/>
              <w:jc w:val="right"/>
              <w:rPr>
                <w:rFonts w:eastAsia="楷体_GB2312"/>
                <w:b/>
                <w:bCs/>
                <w:color w:val="000000"/>
                <w:kern w:val="0"/>
                <w:sz w:val="18"/>
                <w:szCs w:val="18"/>
              </w:rPr>
            </w:pPr>
          </w:p>
        </w:tc>
      </w:tr>
      <w:tr w14:paraId="4DAD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20" w:type="dxa"/>
            <w:gridSpan w:val="2"/>
            <w:tcBorders>
              <w:bottom w:val="single" w:color="auto" w:sz="4" w:space="0"/>
            </w:tcBorders>
          </w:tcPr>
          <w:p w14:paraId="18B2DC81">
            <w:pPr>
              <w:widowControl/>
              <w:spacing w:line="360" w:lineRule="auto"/>
              <w:rPr>
                <w:rFonts w:eastAsia="楷体_GB2312"/>
                <w:color w:val="000000"/>
                <w:kern w:val="0"/>
                <w:sz w:val="18"/>
                <w:szCs w:val="18"/>
              </w:rPr>
            </w:pPr>
            <w:r>
              <w:rPr>
                <w:rFonts w:eastAsia="楷体_GB2312"/>
                <w:color w:val="000000"/>
                <w:kern w:val="0"/>
                <w:sz w:val="18"/>
                <w:szCs w:val="18"/>
              </w:rPr>
              <w:t>转存下期金额</w:t>
            </w:r>
          </w:p>
        </w:tc>
        <w:tc>
          <w:tcPr>
            <w:tcW w:w="3827" w:type="dxa"/>
            <w:tcBorders>
              <w:bottom w:val="single" w:color="auto" w:sz="4" w:space="0"/>
            </w:tcBorders>
          </w:tcPr>
          <w:p w14:paraId="20C20101">
            <w:pPr>
              <w:widowControl/>
              <w:spacing w:line="360" w:lineRule="auto"/>
              <w:jc w:val="right"/>
              <w:rPr>
                <w:rFonts w:eastAsia="楷体_GB2312"/>
                <w:b/>
                <w:bCs/>
                <w:color w:val="000000"/>
                <w:kern w:val="0"/>
                <w:sz w:val="18"/>
                <w:szCs w:val="18"/>
              </w:rPr>
            </w:pPr>
          </w:p>
        </w:tc>
      </w:tr>
    </w:tbl>
    <w:p w14:paraId="0BE687B5">
      <w:pPr>
        <w:spacing w:line="360" w:lineRule="auto"/>
        <w:rPr>
          <w:rFonts w:eastAsia="楷体_GB2312"/>
          <w:color w:val="000000"/>
          <w:sz w:val="15"/>
          <w:szCs w:val="15"/>
        </w:rPr>
      </w:pPr>
      <w:r>
        <w:rPr>
          <w:rFonts w:eastAsia="楷体_GB2312"/>
          <w:color w:val="000000"/>
          <w:sz w:val="15"/>
          <w:szCs w:val="15"/>
        </w:rPr>
        <w:t>注1：仅包含根据交易文件约定应由信托财产承担的部分</w:t>
      </w:r>
    </w:p>
    <w:p w14:paraId="25F0EB92">
      <w:pPr>
        <w:spacing w:line="360" w:lineRule="auto"/>
        <w:rPr>
          <w:rFonts w:eastAsia="楷体_GB2312"/>
          <w:color w:val="000000"/>
          <w:sz w:val="15"/>
          <w:szCs w:val="15"/>
        </w:rPr>
      </w:pPr>
      <w:r>
        <w:rPr>
          <w:rFonts w:eastAsia="楷体_GB2312"/>
          <w:color w:val="000000"/>
          <w:sz w:val="15"/>
          <w:szCs w:val="15"/>
        </w:rPr>
        <w:t>注2：其他费用支出发生的原因是【】</w:t>
      </w:r>
    </w:p>
    <w:p w14:paraId="2689F816">
      <w:pPr>
        <w:spacing w:line="360" w:lineRule="auto"/>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76"/>
        <w:gridCol w:w="1843"/>
        <w:gridCol w:w="1701"/>
        <w:gridCol w:w="2552"/>
      </w:tblGrid>
      <w:tr w14:paraId="7B306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bottom w:val="single" w:color="auto" w:sz="4" w:space="0"/>
            </w:tcBorders>
          </w:tcPr>
          <w:p w14:paraId="15FF38BD">
            <w:pPr>
              <w:spacing w:line="360" w:lineRule="auto"/>
              <w:jc w:val="center"/>
              <w:rPr>
                <w:rFonts w:eastAsia="楷体_GB2312"/>
                <w:b/>
                <w:color w:val="000000"/>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22002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bottom w:val="single" w:color="auto" w:sz="4" w:space="0"/>
            </w:tcBorders>
          </w:tcPr>
          <w:p w14:paraId="0C19398D">
            <w:pPr>
              <w:spacing w:line="360" w:lineRule="auto"/>
              <w:rPr>
                <w:rFonts w:eastAsia="楷体_GB2312"/>
                <w:b/>
                <w:color w:val="000000"/>
              </w:rPr>
            </w:pPr>
            <w:r>
              <w:rPr>
                <w:rFonts w:eastAsia="楷体_GB2312"/>
                <w:b/>
                <w:color w:val="000000"/>
              </w:rPr>
              <w:t>四、资产池表现情况（续）</w:t>
            </w:r>
          </w:p>
          <w:p w14:paraId="3EC18B0C">
            <w:pPr>
              <w:spacing w:line="360" w:lineRule="auto"/>
              <w:rPr>
                <w:rFonts w:eastAsia="楷体_GB2312"/>
                <w:color w:val="000000"/>
              </w:rPr>
            </w:pPr>
            <w:r>
              <w:rPr>
                <w:rFonts w:eastAsia="楷体_GB2312"/>
                <w:b/>
                <w:color w:val="000000"/>
              </w:rPr>
              <w:t>（五）资产池现金流回收预测表</w:t>
            </w:r>
          </w:p>
        </w:tc>
      </w:tr>
      <w:tr w14:paraId="3E9C4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7AF34372">
            <w:pPr>
              <w:spacing w:line="360" w:lineRule="auto"/>
              <w:rPr>
                <w:rFonts w:eastAsia="楷体_GB2312"/>
                <w:b/>
                <w:color w:val="000000"/>
                <w:sz w:val="18"/>
                <w:szCs w:val="18"/>
              </w:rPr>
            </w:pPr>
            <w:r>
              <w:rPr>
                <w:rFonts w:eastAsia="楷体_GB2312"/>
                <w:b/>
                <w:color w:val="000000"/>
                <w:sz w:val="18"/>
                <w:szCs w:val="18"/>
              </w:rPr>
              <w:t>计算日（收款期间期末日期）</w:t>
            </w:r>
          </w:p>
        </w:tc>
        <w:tc>
          <w:tcPr>
            <w:tcW w:w="1843" w:type="dxa"/>
            <w:tcBorders>
              <w:top w:val="single" w:color="auto" w:sz="4" w:space="0"/>
              <w:left w:val="single" w:color="auto" w:sz="4" w:space="0"/>
              <w:bottom w:val="single" w:color="auto" w:sz="4" w:space="0"/>
              <w:right w:val="single" w:color="auto" w:sz="4" w:space="0"/>
            </w:tcBorders>
          </w:tcPr>
          <w:p w14:paraId="616F67BF">
            <w:pPr>
              <w:spacing w:line="360" w:lineRule="auto"/>
              <w:rPr>
                <w:rFonts w:eastAsia="楷体_GB2312"/>
                <w:b/>
                <w:color w:val="000000"/>
                <w:sz w:val="18"/>
              </w:rPr>
            </w:pPr>
            <w:r>
              <w:rPr>
                <w:rFonts w:eastAsia="楷体_GB2312"/>
                <w:b/>
                <w:color w:val="000000"/>
                <w:sz w:val="18"/>
              </w:rPr>
              <w:t>期初本息余额</w:t>
            </w:r>
          </w:p>
        </w:tc>
        <w:tc>
          <w:tcPr>
            <w:tcW w:w="1701" w:type="dxa"/>
            <w:tcBorders>
              <w:top w:val="single" w:color="auto" w:sz="4" w:space="0"/>
              <w:left w:val="single" w:color="auto" w:sz="4" w:space="0"/>
              <w:bottom w:val="single" w:color="auto" w:sz="4" w:space="0"/>
              <w:right w:val="single" w:color="auto" w:sz="4" w:space="0"/>
            </w:tcBorders>
          </w:tcPr>
          <w:p w14:paraId="09EBE3A1">
            <w:pPr>
              <w:spacing w:line="360" w:lineRule="auto"/>
              <w:rPr>
                <w:rFonts w:eastAsia="楷体_GB2312"/>
                <w:b/>
                <w:color w:val="000000"/>
                <w:sz w:val="18"/>
              </w:rPr>
            </w:pPr>
            <w:r>
              <w:rPr>
                <w:rFonts w:eastAsia="楷体_GB2312"/>
                <w:b/>
                <w:color w:val="000000"/>
                <w:sz w:val="18"/>
              </w:rPr>
              <w:t>本期预计回收金额</w:t>
            </w:r>
          </w:p>
        </w:tc>
        <w:tc>
          <w:tcPr>
            <w:tcW w:w="2552" w:type="dxa"/>
            <w:tcBorders>
              <w:top w:val="single" w:color="auto" w:sz="4" w:space="0"/>
              <w:left w:val="single" w:color="auto" w:sz="4" w:space="0"/>
              <w:bottom w:val="single" w:color="auto" w:sz="4" w:space="0"/>
            </w:tcBorders>
          </w:tcPr>
          <w:p w14:paraId="398857C7">
            <w:pPr>
              <w:spacing w:line="360" w:lineRule="auto"/>
              <w:rPr>
                <w:rFonts w:eastAsia="楷体_GB2312"/>
                <w:b/>
                <w:color w:val="000000"/>
              </w:rPr>
            </w:pPr>
            <w:r>
              <w:rPr>
                <w:rFonts w:eastAsia="楷体_GB2312"/>
                <w:b/>
                <w:color w:val="000000"/>
                <w:sz w:val="18"/>
              </w:rPr>
              <w:t>期末本息余额</w:t>
            </w:r>
          </w:p>
        </w:tc>
      </w:tr>
      <w:tr w14:paraId="043A7B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0B817F1D">
            <w:pPr>
              <w:spacing w:line="360" w:lineRule="auto"/>
              <w:rPr>
                <w:rFonts w:eastAsia="楷体_GB2312"/>
                <w:color w:val="000000"/>
                <w:sz w:val="18"/>
                <w:szCs w:val="18"/>
              </w:rPr>
            </w:pPr>
            <w:r>
              <w:rPr>
                <w:rFonts w:eastAsia="楷体_GB2312"/>
                <w:color w:val="000000"/>
                <w:sz w:val="18"/>
                <w:szCs w:val="18"/>
              </w:rPr>
              <w:t>注1</w:t>
            </w:r>
          </w:p>
        </w:tc>
        <w:tc>
          <w:tcPr>
            <w:tcW w:w="1843" w:type="dxa"/>
            <w:tcBorders>
              <w:top w:val="single" w:color="auto" w:sz="4" w:space="0"/>
              <w:left w:val="single" w:color="auto" w:sz="4" w:space="0"/>
              <w:bottom w:val="single" w:color="auto" w:sz="4" w:space="0"/>
              <w:right w:val="single" w:color="auto" w:sz="4" w:space="0"/>
            </w:tcBorders>
          </w:tcPr>
          <w:p w14:paraId="01F63D1A">
            <w:pPr>
              <w:spacing w:line="360" w:lineRule="auto"/>
              <w:rPr>
                <w:rFonts w:eastAsia="楷体_GB2312"/>
                <w:color w:val="000000"/>
                <w:sz w:val="18"/>
                <w:szCs w:val="18"/>
              </w:rPr>
            </w:pPr>
          </w:p>
        </w:tc>
        <w:tc>
          <w:tcPr>
            <w:tcW w:w="1701" w:type="dxa"/>
            <w:tcBorders>
              <w:top w:val="single" w:color="auto" w:sz="4" w:space="0"/>
              <w:left w:val="single" w:color="auto" w:sz="4" w:space="0"/>
              <w:bottom w:val="single" w:color="auto" w:sz="4" w:space="0"/>
              <w:right w:val="single" w:color="auto" w:sz="4" w:space="0"/>
            </w:tcBorders>
          </w:tcPr>
          <w:p w14:paraId="5E92BF72">
            <w:pPr>
              <w:spacing w:line="360" w:lineRule="auto"/>
              <w:rPr>
                <w:rFonts w:eastAsia="楷体_GB2312"/>
                <w:color w:val="000000"/>
                <w:sz w:val="18"/>
                <w:szCs w:val="18"/>
              </w:rPr>
            </w:pPr>
          </w:p>
        </w:tc>
        <w:tc>
          <w:tcPr>
            <w:tcW w:w="2552" w:type="dxa"/>
            <w:tcBorders>
              <w:top w:val="single" w:color="auto" w:sz="4" w:space="0"/>
              <w:left w:val="single" w:color="auto" w:sz="4" w:space="0"/>
              <w:bottom w:val="single" w:color="auto" w:sz="4" w:space="0"/>
            </w:tcBorders>
          </w:tcPr>
          <w:p w14:paraId="3EC770AD">
            <w:pPr>
              <w:spacing w:line="360" w:lineRule="auto"/>
              <w:rPr>
                <w:rFonts w:eastAsia="楷体_GB2312"/>
                <w:color w:val="000000"/>
                <w:sz w:val="18"/>
                <w:szCs w:val="18"/>
              </w:rPr>
            </w:pPr>
          </w:p>
        </w:tc>
      </w:tr>
      <w:tr w14:paraId="4D6EDB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52AB86D0">
            <w:pPr>
              <w:spacing w:line="360" w:lineRule="auto"/>
              <w:rPr>
                <w:rFonts w:eastAsia="楷体_GB2312"/>
                <w:color w:val="000000"/>
                <w:sz w:val="18"/>
                <w:szCs w:val="18"/>
              </w:rPr>
            </w:pPr>
          </w:p>
        </w:tc>
        <w:tc>
          <w:tcPr>
            <w:tcW w:w="1843" w:type="dxa"/>
            <w:tcBorders>
              <w:top w:val="single" w:color="auto" w:sz="4" w:space="0"/>
              <w:left w:val="single" w:color="auto" w:sz="4" w:space="0"/>
              <w:bottom w:val="single" w:color="auto" w:sz="4" w:space="0"/>
              <w:right w:val="single" w:color="auto" w:sz="4" w:space="0"/>
            </w:tcBorders>
          </w:tcPr>
          <w:p w14:paraId="195FCDA1">
            <w:pPr>
              <w:spacing w:line="360" w:lineRule="auto"/>
              <w:rPr>
                <w:rFonts w:eastAsia="楷体_GB2312"/>
                <w:color w:val="000000"/>
                <w:sz w:val="18"/>
                <w:szCs w:val="18"/>
              </w:rPr>
            </w:pPr>
          </w:p>
        </w:tc>
        <w:tc>
          <w:tcPr>
            <w:tcW w:w="1701" w:type="dxa"/>
            <w:tcBorders>
              <w:top w:val="single" w:color="auto" w:sz="4" w:space="0"/>
              <w:left w:val="single" w:color="auto" w:sz="4" w:space="0"/>
              <w:bottom w:val="single" w:color="auto" w:sz="4" w:space="0"/>
              <w:right w:val="single" w:color="auto" w:sz="4" w:space="0"/>
            </w:tcBorders>
          </w:tcPr>
          <w:p w14:paraId="0B605AD4">
            <w:pPr>
              <w:spacing w:line="360" w:lineRule="auto"/>
              <w:rPr>
                <w:rFonts w:eastAsia="楷体_GB2312"/>
                <w:color w:val="000000"/>
                <w:sz w:val="18"/>
                <w:szCs w:val="18"/>
              </w:rPr>
            </w:pPr>
          </w:p>
        </w:tc>
        <w:tc>
          <w:tcPr>
            <w:tcW w:w="2552" w:type="dxa"/>
            <w:tcBorders>
              <w:top w:val="single" w:color="auto" w:sz="4" w:space="0"/>
              <w:left w:val="single" w:color="auto" w:sz="4" w:space="0"/>
              <w:bottom w:val="single" w:color="auto" w:sz="4" w:space="0"/>
            </w:tcBorders>
          </w:tcPr>
          <w:p w14:paraId="0A89397B">
            <w:pPr>
              <w:spacing w:line="360" w:lineRule="auto"/>
              <w:rPr>
                <w:rFonts w:eastAsia="楷体_GB2312"/>
                <w:color w:val="000000"/>
                <w:sz w:val="18"/>
                <w:szCs w:val="18"/>
              </w:rPr>
            </w:pPr>
          </w:p>
        </w:tc>
      </w:tr>
      <w:tr w14:paraId="496AA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30EAA9F0">
            <w:pPr>
              <w:spacing w:line="360" w:lineRule="auto"/>
              <w:rPr>
                <w:rFonts w:eastAsia="楷体_GB2312"/>
                <w:color w:val="000000"/>
                <w:sz w:val="18"/>
                <w:szCs w:val="18"/>
              </w:rPr>
            </w:pPr>
          </w:p>
        </w:tc>
        <w:tc>
          <w:tcPr>
            <w:tcW w:w="1843" w:type="dxa"/>
            <w:tcBorders>
              <w:top w:val="single" w:color="auto" w:sz="4" w:space="0"/>
              <w:left w:val="single" w:color="auto" w:sz="4" w:space="0"/>
              <w:bottom w:val="single" w:color="auto" w:sz="4" w:space="0"/>
              <w:right w:val="single" w:color="auto" w:sz="4" w:space="0"/>
            </w:tcBorders>
          </w:tcPr>
          <w:p w14:paraId="3586289E">
            <w:pPr>
              <w:spacing w:line="360" w:lineRule="auto"/>
              <w:rPr>
                <w:rFonts w:eastAsia="楷体_GB2312"/>
                <w:color w:val="000000"/>
                <w:sz w:val="18"/>
                <w:szCs w:val="18"/>
              </w:rPr>
            </w:pPr>
          </w:p>
        </w:tc>
        <w:tc>
          <w:tcPr>
            <w:tcW w:w="1701" w:type="dxa"/>
            <w:tcBorders>
              <w:top w:val="single" w:color="auto" w:sz="4" w:space="0"/>
              <w:left w:val="single" w:color="auto" w:sz="4" w:space="0"/>
              <w:bottom w:val="single" w:color="auto" w:sz="4" w:space="0"/>
              <w:right w:val="single" w:color="auto" w:sz="4" w:space="0"/>
            </w:tcBorders>
          </w:tcPr>
          <w:p w14:paraId="76D0F35C">
            <w:pPr>
              <w:spacing w:line="360" w:lineRule="auto"/>
              <w:rPr>
                <w:rFonts w:eastAsia="楷体_GB2312"/>
                <w:color w:val="000000"/>
                <w:sz w:val="18"/>
                <w:szCs w:val="18"/>
              </w:rPr>
            </w:pPr>
          </w:p>
        </w:tc>
        <w:tc>
          <w:tcPr>
            <w:tcW w:w="2552" w:type="dxa"/>
            <w:tcBorders>
              <w:top w:val="single" w:color="auto" w:sz="4" w:space="0"/>
              <w:left w:val="single" w:color="auto" w:sz="4" w:space="0"/>
              <w:bottom w:val="single" w:color="auto" w:sz="4" w:space="0"/>
            </w:tcBorders>
          </w:tcPr>
          <w:p w14:paraId="491518F1">
            <w:pPr>
              <w:spacing w:line="360" w:lineRule="auto"/>
              <w:rPr>
                <w:rFonts w:eastAsia="楷体_GB2312"/>
                <w:color w:val="000000"/>
                <w:sz w:val="18"/>
                <w:szCs w:val="18"/>
              </w:rPr>
            </w:pPr>
          </w:p>
        </w:tc>
      </w:tr>
      <w:tr w14:paraId="7E4F7E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1C92641B">
            <w:pPr>
              <w:spacing w:line="360" w:lineRule="auto"/>
              <w:rPr>
                <w:rFonts w:eastAsia="楷体_GB2312"/>
                <w:color w:val="000000"/>
                <w:sz w:val="18"/>
                <w:szCs w:val="18"/>
              </w:rPr>
            </w:pPr>
          </w:p>
        </w:tc>
        <w:tc>
          <w:tcPr>
            <w:tcW w:w="1843" w:type="dxa"/>
            <w:tcBorders>
              <w:top w:val="single" w:color="auto" w:sz="4" w:space="0"/>
              <w:left w:val="single" w:color="auto" w:sz="4" w:space="0"/>
              <w:bottom w:val="single" w:color="auto" w:sz="4" w:space="0"/>
              <w:right w:val="single" w:color="auto" w:sz="4" w:space="0"/>
            </w:tcBorders>
          </w:tcPr>
          <w:p w14:paraId="37172904">
            <w:pPr>
              <w:spacing w:line="360" w:lineRule="auto"/>
              <w:rPr>
                <w:rFonts w:eastAsia="楷体_GB2312"/>
                <w:color w:val="000000"/>
                <w:sz w:val="18"/>
                <w:szCs w:val="18"/>
              </w:rPr>
            </w:pPr>
          </w:p>
        </w:tc>
        <w:tc>
          <w:tcPr>
            <w:tcW w:w="1701" w:type="dxa"/>
            <w:tcBorders>
              <w:top w:val="single" w:color="auto" w:sz="4" w:space="0"/>
              <w:left w:val="single" w:color="auto" w:sz="4" w:space="0"/>
              <w:bottom w:val="single" w:color="auto" w:sz="4" w:space="0"/>
              <w:right w:val="single" w:color="auto" w:sz="4" w:space="0"/>
            </w:tcBorders>
          </w:tcPr>
          <w:p w14:paraId="0E8D43B1">
            <w:pPr>
              <w:spacing w:line="360" w:lineRule="auto"/>
              <w:rPr>
                <w:rFonts w:eastAsia="楷体_GB2312"/>
                <w:color w:val="000000"/>
                <w:sz w:val="18"/>
                <w:szCs w:val="18"/>
              </w:rPr>
            </w:pPr>
          </w:p>
        </w:tc>
        <w:tc>
          <w:tcPr>
            <w:tcW w:w="2552" w:type="dxa"/>
            <w:tcBorders>
              <w:top w:val="single" w:color="auto" w:sz="4" w:space="0"/>
              <w:left w:val="single" w:color="auto" w:sz="4" w:space="0"/>
              <w:bottom w:val="single" w:color="auto" w:sz="4" w:space="0"/>
            </w:tcBorders>
          </w:tcPr>
          <w:p w14:paraId="5C6A8A7B">
            <w:pPr>
              <w:spacing w:line="360" w:lineRule="auto"/>
              <w:rPr>
                <w:rFonts w:eastAsia="楷体_GB2312"/>
                <w:color w:val="000000"/>
                <w:sz w:val="18"/>
                <w:szCs w:val="18"/>
              </w:rPr>
            </w:pPr>
          </w:p>
        </w:tc>
      </w:tr>
      <w:tr w14:paraId="33BD1E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376" w:type="dxa"/>
            <w:tcBorders>
              <w:top w:val="single" w:color="auto" w:sz="4" w:space="0"/>
              <w:bottom w:val="single" w:color="auto" w:sz="4" w:space="0"/>
              <w:right w:val="single" w:color="auto" w:sz="4" w:space="0"/>
            </w:tcBorders>
          </w:tcPr>
          <w:p w14:paraId="4AC1654E">
            <w:pPr>
              <w:spacing w:line="360" w:lineRule="auto"/>
              <w:rPr>
                <w:rFonts w:eastAsia="楷体_GB2312"/>
                <w:color w:val="000000"/>
                <w:sz w:val="18"/>
                <w:szCs w:val="18"/>
              </w:rPr>
            </w:pPr>
            <w:r>
              <w:rPr>
                <w:rFonts w:eastAsia="楷体_GB2312"/>
                <w:color w:val="000000"/>
                <w:sz w:val="18"/>
                <w:szCs w:val="18"/>
              </w:rPr>
              <w:t>注2</w:t>
            </w:r>
          </w:p>
        </w:tc>
        <w:tc>
          <w:tcPr>
            <w:tcW w:w="1843" w:type="dxa"/>
            <w:tcBorders>
              <w:top w:val="single" w:color="auto" w:sz="4" w:space="0"/>
              <w:left w:val="single" w:color="auto" w:sz="4" w:space="0"/>
              <w:bottom w:val="single" w:color="auto" w:sz="4" w:space="0"/>
              <w:right w:val="single" w:color="auto" w:sz="4" w:space="0"/>
            </w:tcBorders>
          </w:tcPr>
          <w:p w14:paraId="78583687">
            <w:pPr>
              <w:spacing w:line="360" w:lineRule="auto"/>
              <w:rPr>
                <w:rFonts w:eastAsia="楷体_GB2312"/>
                <w:color w:val="000000"/>
                <w:sz w:val="18"/>
                <w:szCs w:val="18"/>
              </w:rPr>
            </w:pPr>
          </w:p>
        </w:tc>
        <w:tc>
          <w:tcPr>
            <w:tcW w:w="1701" w:type="dxa"/>
            <w:tcBorders>
              <w:top w:val="single" w:color="auto" w:sz="4" w:space="0"/>
              <w:left w:val="single" w:color="auto" w:sz="4" w:space="0"/>
              <w:bottom w:val="single" w:color="auto" w:sz="4" w:space="0"/>
              <w:right w:val="single" w:color="auto" w:sz="4" w:space="0"/>
            </w:tcBorders>
          </w:tcPr>
          <w:p w14:paraId="6B30C709">
            <w:pPr>
              <w:spacing w:line="360" w:lineRule="auto"/>
              <w:rPr>
                <w:rFonts w:eastAsia="楷体_GB2312"/>
                <w:color w:val="000000"/>
                <w:sz w:val="18"/>
                <w:szCs w:val="18"/>
              </w:rPr>
            </w:pPr>
          </w:p>
        </w:tc>
        <w:tc>
          <w:tcPr>
            <w:tcW w:w="2552" w:type="dxa"/>
            <w:tcBorders>
              <w:top w:val="single" w:color="auto" w:sz="4" w:space="0"/>
              <w:left w:val="single" w:color="auto" w:sz="4" w:space="0"/>
              <w:bottom w:val="single" w:color="auto" w:sz="4" w:space="0"/>
            </w:tcBorders>
          </w:tcPr>
          <w:p w14:paraId="495096FC">
            <w:pPr>
              <w:spacing w:line="360" w:lineRule="auto"/>
              <w:rPr>
                <w:rFonts w:eastAsia="楷体_GB2312"/>
                <w:color w:val="000000"/>
                <w:sz w:val="18"/>
                <w:szCs w:val="18"/>
              </w:rPr>
            </w:pPr>
          </w:p>
        </w:tc>
      </w:tr>
    </w:tbl>
    <w:p w14:paraId="795A706D">
      <w:pPr>
        <w:spacing w:line="360" w:lineRule="auto"/>
        <w:rPr>
          <w:rFonts w:eastAsia="楷体_GB2312"/>
          <w:color w:val="000000"/>
        </w:rPr>
      </w:pPr>
      <w:r>
        <w:rPr>
          <w:rFonts w:eastAsia="楷体_GB2312"/>
          <w:color w:val="000000"/>
        </w:rPr>
        <w:t>注1：此日期为受托报告出具日期所在的对应收款期间。</w:t>
      </w:r>
    </w:p>
    <w:p w14:paraId="1D97FF5C">
      <w:pPr>
        <w:spacing w:line="360" w:lineRule="auto"/>
        <w:rPr>
          <w:rFonts w:eastAsia="楷体_GB2312"/>
          <w:color w:val="000000"/>
        </w:rPr>
      </w:pPr>
      <w:r>
        <w:rPr>
          <w:rFonts w:eastAsia="楷体_GB2312"/>
          <w:color w:val="000000"/>
        </w:rPr>
        <w:t>注2：按资产池预计的总回收期限进行详尽披露。</w:t>
      </w:r>
    </w:p>
    <w:p w14:paraId="6B2C2657">
      <w:pPr>
        <w:spacing w:line="360" w:lineRule="auto"/>
        <w:rPr>
          <w:rFonts w:eastAsia="楷体_GB2312"/>
          <w:color w:val="000000"/>
        </w:rPr>
      </w:pPr>
      <w:r>
        <w:rPr>
          <w:rFonts w:eastAsia="楷体_GB2312"/>
          <w:color w:val="000000"/>
        </w:rPr>
        <w:br w:type="column"/>
      </w:r>
    </w:p>
    <w:tbl>
      <w:tblPr>
        <w:tblStyle w:val="2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1592"/>
        <w:gridCol w:w="1649"/>
        <w:gridCol w:w="2652"/>
      </w:tblGrid>
      <w:tr w14:paraId="6547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4"/>
          </w:tcPr>
          <w:p w14:paraId="17C7C11B">
            <w:pPr>
              <w:spacing w:line="360" w:lineRule="auto"/>
              <w:jc w:val="center"/>
              <w:rPr>
                <w:rFonts w:eastAsia="楷体_GB2312"/>
                <w:b/>
                <w:color w:val="000000"/>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6350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4"/>
          </w:tcPr>
          <w:p w14:paraId="152A7C88">
            <w:pPr>
              <w:spacing w:line="360" w:lineRule="auto"/>
              <w:rPr>
                <w:rFonts w:eastAsia="楷体_GB2312"/>
                <w:b/>
                <w:color w:val="000000"/>
              </w:rPr>
            </w:pPr>
            <w:r>
              <w:rPr>
                <w:rFonts w:eastAsia="楷体_GB2312"/>
                <w:b/>
                <w:color w:val="000000"/>
              </w:rPr>
              <w:t>五、本期资产支持证券内外部信用增级情况如下：</w:t>
            </w:r>
          </w:p>
          <w:p w14:paraId="19F83D35">
            <w:pPr>
              <w:spacing w:line="360" w:lineRule="auto"/>
              <w:rPr>
                <w:rFonts w:eastAsia="楷体_GB2312"/>
                <w:color w:val="000000"/>
              </w:rPr>
            </w:pPr>
            <w:r>
              <w:rPr>
                <w:rFonts w:eastAsia="楷体_GB2312"/>
                <w:color w:val="000000"/>
              </w:rPr>
              <w:t>本次交易通过设定优先级</w:t>
            </w:r>
            <w:r>
              <w:rPr>
                <w:rFonts w:eastAsia="楷体_GB2312"/>
                <w:b/>
                <w:color w:val="000000"/>
              </w:rPr>
              <w:t>/</w:t>
            </w:r>
            <w:r>
              <w:rPr>
                <w:rFonts w:eastAsia="楷体_GB2312"/>
                <w:color w:val="000000"/>
              </w:rPr>
              <w:t>次级资产支持证券、设置信托（流动性）储备账户的结构实现信用增级：</w:t>
            </w:r>
          </w:p>
        </w:tc>
      </w:tr>
      <w:tr w14:paraId="42AAD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4"/>
          </w:tcPr>
          <w:p w14:paraId="308392FE">
            <w:pPr>
              <w:spacing w:line="360" w:lineRule="auto"/>
              <w:rPr>
                <w:rFonts w:eastAsia="楷体_GB2312"/>
                <w:color w:val="000000"/>
              </w:rPr>
            </w:pPr>
            <w:r>
              <w:rPr>
                <w:rFonts w:eastAsia="楷体_GB2312"/>
                <w:color w:val="000000"/>
              </w:rPr>
              <w:t>（一）资产支持证券分层结构情况</w:t>
            </w:r>
          </w:p>
        </w:tc>
      </w:tr>
      <w:tr w14:paraId="0595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Pr>
          <w:p w14:paraId="2FE016B0">
            <w:pPr>
              <w:spacing w:line="360" w:lineRule="auto"/>
              <w:rPr>
                <w:rFonts w:eastAsia="楷体_GB2312"/>
                <w:color w:val="000000"/>
                <w:sz w:val="18"/>
                <w:szCs w:val="18"/>
              </w:rPr>
            </w:pPr>
          </w:p>
        </w:tc>
        <w:tc>
          <w:tcPr>
            <w:tcW w:w="3241" w:type="dxa"/>
            <w:gridSpan w:val="2"/>
          </w:tcPr>
          <w:p w14:paraId="42D328DE">
            <w:pPr>
              <w:spacing w:line="360" w:lineRule="auto"/>
              <w:jc w:val="center"/>
              <w:rPr>
                <w:rFonts w:eastAsia="楷体_GB2312"/>
                <w:color w:val="000000"/>
                <w:sz w:val="18"/>
                <w:szCs w:val="18"/>
              </w:rPr>
            </w:pPr>
            <w:r>
              <w:rPr>
                <w:rFonts w:eastAsia="楷体_GB2312"/>
                <w:color w:val="000000"/>
                <w:sz w:val="18"/>
                <w:szCs w:val="18"/>
              </w:rPr>
              <w:t>本金期末余额</w:t>
            </w:r>
          </w:p>
        </w:tc>
        <w:tc>
          <w:tcPr>
            <w:tcW w:w="2652" w:type="dxa"/>
          </w:tcPr>
          <w:p w14:paraId="39D398B4">
            <w:pPr>
              <w:spacing w:line="360" w:lineRule="auto"/>
              <w:rPr>
                <w:rFonts w:eastAsia="楷体_GB2312"/>
                <w:color w:val="000000"/>
                <w:sz w:val="18"/>
                <w:szCs w:val="18"/>
              </w:rPr>
            </w:pPr>
            <w:r>
              <w:rPr>
                <w:rFonts w:eastAsia="楷体_GB2312"/>
                <w:color w:val="000000"/>
                <w:sz w:val="18"/>
                <w:szCs w:val="18"/>
              </w:rPr>
              <w:t>占本金总金额的百分比</w:t>
            </w:r>
          </w:p>
        </w:tc>
      </w:tr>
      <w:tr w14:paraId="3106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Pr>
          <w:p w14:paraId="64937222">
            <w:pPr>
              <w:spacing w:line="360" w:lineRule="auto"/>
              <w:rPr>
                <w:rFonts w:eastAsia="楷体_GB2312"/>
                <w:color w:val="000000"/>
                <w:sz w:val="18"/>
                <w:szCs w:val="18"/>
              </w:rPr>
            </w:pPr>
            <w:r>
              <w:rPr>
                <w:rFonts w:eastAsia="楷体_GB2312"/>
                <w:color w:val="000000"/>
                <w:sz w:val="18"/>
                <w:szCs w:val="18"/>
              </w:rPr>
              <w:t>优先级资产支持证券</w:t>
            </w:r>
          </w:p>
        </w:tc>
        <w:tc>
          <w:tcPr>
            <w:tcW w:w="3241" w:type="dxa"/>
            <w:gridSpan w:val="2"/>
          </w:tcPr>
          <w:p w14:paraId="078E7EBC">
            <w:pPr>
              <w:spacing w:line="360" w:lineRule="auto"/>
              <w:rPr>
                <w:rFonts w:eastAsia="楷体_GB2312"/>
                <w:color w:val="000000"/>
                <w:sz w:val="18"/>
                <w:szCs w:val="18"/>
              </w:rPr>
            </w:pPr>
          </w:p>
        </w:tc>
        <w:tc>
          <w:tcPr>
            <w:tcW w:w="2652" w:type="dxa"/>
          </w:tcPr>
          <w:p w14:paraId="00A0B9DC">
            <w:pPr>
              <w:spacing w:line="360" w:lineRule="auto"/>
              <w:rPr>
                <w:rFonts w:eastAsia="楷体_GB2312"/>
                <w:color w:val="000000"/>
                <w:sz w:val="18"/>
                <w:szCs w:val="18"/>
              </w:rPr>
            </w:pPr>
          </w:p>
        </w:tc>
      </w:tr>
      <w:tr w14:paraId="48AE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Pr>
          <w:p w14:paraId="6CCABE08">
            <w:pPr>
              <w:spacing w:line="360" w:lineRule="auto"/>
              <w:rPr>
                <w:rFonts w:eastAsia="楷体_GB2312"/>
                <w:color w:val="000000"/>
                <w:sz w:val="18"/>
                <w:szCs w:val="18"/>
              </w:rPr>
            </w:pPr>
            <w:r>
              <w:rPr>
                <w:rFonts w:eastAsia="楷体_GB2312"/>
                <w:color w:val="000000"/>
                <w:sz w:val="18"/>
                <w:szCs w:val="18"/>
              </w:rPr>
              <w:t>次级资产支持证券</w:t>
            </w:r>
          </w:p>
        </w:tc>
        <w:tc>
          <w:tcPr>
            <w:tcW w:w="3241" w:type="dxa"/>
            <w:gridSpan w:val="2"/>
          </w:tcPr>
          <w:p w14:paraId="38E92A50">
            <w:pPr>
              <w:spacing w:line="360" w:lineRule="auto"/>
              <w:rPr>
                <w:rFonts w:eastAsia="楷体_GB2312"/>
                <w:color w:val="000000"/>
                <w:sz w:val="18"/>
                <w:szCs w:val="18"/>
              </w:rPr>
            </w:pPr>
          </w:p>
        </w:tc>
        <w:tc>
          <w:tcPr>
            <w:tcW w:w="2652" w:type="dxa"/>
          </w:tcPr>
          <w:p w14:paraId="6409026C">
            <w:pPr>
              <w:spacing w:line="360" w:lineRule="auto"/>
              <w:rPr>
                <w:rFonts w:eastAsia="楷体_GB2312"/>
                <w:color w:val="000000"/>
                <w:sz w:val="18"/>
                <w:szCs w:val="18"/>
              </w:rPr>
            </w:pPr>
          </w:p>
        </w:tc>
      </w:tr>
      <w:tr w14:paraId="643D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Pr>
          <w:p w14:paraId="75308E0B">
            <w:pPr>
              <w:spacing w:line="360" w:lineRule="auto"/>
              <w:rPr>
                <w:rFonts w:eastAsia="楷体_GB2312"/>
                <w:color w:val="000000"/>
                <w:sz w:val="18"/>
                <w:szCs w:val="18"/>
              </w:rPr>
            </w:pPr>
            <w:r>
              <w:rPr>
                <w:rFonts w:eastAsia="楷体_GB2312"/>
                <w:color w:val="000000"/>
                <w:sz w:val="18"/>
                <w:szCs w:val="18"/>
              </w:rPr>
              <w:t>合计</w:t>
            </w:r>
          </w:p>
        </w:tc>
        <w:tc>
          <w:tcPr>
            <w:tcW w:w="3241" w:type="dxa"/>
            <w:gridSpan w:val="2"/>
          </w:tcPr>
          <w:p w14:paraId="62C63348">
            <w:pPr>
              <w:spacing w:line="360" w:lineRule="auto"/>
              <w:rPr>
                <w:rFonts w:eastAsia="楷体_GB2312"/>
                <w:color w:val="000000"/>
                <w:sz w:val="18"/>
                <w:szCs w:val="18"/>
              </w:rPr>
            </w:pPr>
          </w:p>
        </w:tc>
        <w:tc>
          <w:tcPr>
            <w:tcW w:w="2652" w:type="dxa"/>
          </w:tcPr>
          <w:p w14:paraId="68AA3196">
            <w:pPr>
              <w:spacing w:line="360" w:lineRule="auto"/>
              <w:rPr>
                <w:rFonts w:eastAsia="楷体_GB2312"/>
                <w:color w:val="000000"/>
                <w:sz w:val="18"/>
                <w:szCs w:val="18"/>
              </w:rPr>
            </w:pPr>
          </w:p>
        </w:tc>
      </w:tr>
      <w:tr w14:paraId="597F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520" w:type="dxa"/>
            <w:gridSpan w:val="4"/>
          </w:tcPr>
          <w:p w14:paraId="1CA3F878">
            <w:pPr>
              <w:spacing w:line="360" w:lineRule="auto"/>
              <w:rPr>
                <w:rFonts w:eastAsia="楷体_GB2312"/>
                <w:color w:val="000000"/>
              </w:rPr>
            </w:pPr>
            <w:r>
              <w:rPr>
                <w:rFonts w:eastAsia="楷体_GB2312"/>
                <w:color w:val="000000"/>
              </w:rPr>
              <w:t>（二）信托（流动性）储备账户的余额</w:t>
            </w:r>
          </w:p>
        </w:tc>
      </w:tr>
      <w:tr w14:paraId="00FD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219" w:type="dxa"/>
            <w:gridSpan w:val="2"/>
          </w:tcPr>
          <w:p w14:paraId="19380A5B">
            <w:pPr>
              <w:spacing w:line="360" w:lineRule="auto"/>
              <w:jc w:val="left"/>
              <w:rPr>
                <w:rFonts w:eastAsia="楷体_GB2312"/>
                <w:color w:val="000000"/>
                <w:sz w:val="18"/>
                <w:szCs w:val="18"/>
              </w:rPr>
            </w:pPr>
            <w:r>
              <w:rPr>
                <w:rFonts w:eastAsia="楷体_GB2312"/>
                <w:color w:val="000000"/>
                <w:sz w:val="18"/>
                <w:szCs w:val="18"/>
              </w:rPr>
              <w:t>本收款期间期末余额</w:t>
            </w:r>
          </w:p>
        </w:tc>
        <w:tc>
          <w:tcPr>
            <w:tcW w:w="4301" w:type="dxa"/>
            <w:gridSpan w:val="2"/>
          </w:tcPr>
          <w:p w14:paraId="15F206D9">
            <w:pPr>
              <w:spacing w:line="360" w:lineRule="auto"/>
              <w:rPr>
                <w:rFonts w:eastAsia="楷体_GB2312"/>
                <w:color w:val="000000"/>
                <w:sz w:val="18"/>
                <w:szCs w:val="18"/>
              </w:rPr>
            </w:pPr>
            <w:r>
              <w:rPr>
                <w:rFonts w:eastAsia="楷体_GB2312"/>
                <w:color w:val="000000"/>
                <w:sz w:val="18"/>
                <w:szCs w:val="18"/>
              </w:rPr>
              <w:t>本期现金流分配后余额</w:t>
            </w:r>
          </w:p>
        </w:tc>
      </w:tr>
      <w:tr w14:paraId="0580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219" w:type="dxa"/>
            <w:gridSpan w:val="2"/>
          </w:tcPr>
          <w:p w14:paraId="170DD68F">
            <w:pPr>
              <w:spacing w:line="360" w:lineRule="auto"/>
              <w:rPr>
                <w:rFonts w:eastAsia="楷体_GB2312"/>
                <w:color w:val="000000"/>
              </w:rPr>
            </w:pPr>
          </w:p>
        </w:tc>
        <w:tc>
          <w:tcPr>
            <w:tcW w:w="4301" w:type="dxa"/>
            <w:gridSpan w:val="2"/>
          </w:tcPr>
          <w:p w14:paraId="08ECF502">
            <w:pPr>
              <w:spacing w:line="360" w:lineRule="auto"/>
              <w:rPr>
                <w:rFonts w:eastAsia="楷体_GB2312"/>
                <w:color w:val="000000"/>
              </w:rPr>
            </w:pPr>
          </w:p>
        </w:tc>
      </w:tr>
    </w:tbl>
    <w:p w14:paraId="1D06CF1E">
      <w:pPr>
        <w:spacing w:line="360" w:lineRule="auto"/>
        <w:rPr>
          <w:rFonts w:eastAsia="楷体_GB2312"/>
          <w:color w:val="000000"/>
        </w:rPr>
      </w:pPr>
    </w:p>
    <w:p w14:paraId="29447958">
      <w:pPr>
        <w:spacing w:line="360" w:lineRule="auto"/>
        <w:rPr>
          <w:rFonts w:eastAsia="楷体_GB2312"/>
          <w:color w:val="000000"/>
        </w:rPr>
      </w:pPr>
    </w:p>
    <w:p w14:paraId="42EFF315">
      <w:pPr>
        <w:spacing w:line="360" w:lineRule="auto"/>
        <w:jc w:val="right"/>
        <w:rPr>
          <w:rFonts w:eastAsia="楷体_GB2312"/>
          <w:color w:val="000000"/>
        </w:rPr>
      </w:pPr>
    </w:p>
    <w:p w14:paraId="0A4D411D">
      <w:pPr>
        <w:spacing w:line="360" w:lineRule="auto"/>
        <w:rPr>
          <w:rFonts w:eastAsia="楷体_GB2312"/>
          <w:color w:val="000000"/>
        </w:rPr>
      </w:pPr>
      <w:r>
        <w:rPr>
          <w:rFonts w:eastAsia="楷体_GB2312"/>
          <w:color w:val="000000"/>
        </w:rPr>
        <w:br w:type="page"/>
      </w:r>
    </w:p>
    <w:tbl>
      <w:tblPr>
        <w:tblStyle w:val="28"/>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2"/>
        <w:gridCol w:w="1134"/>
        <w:gridCol w:w="4859"/>
      </w:tblGrid>
      <w:tr w14:paraId="186375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50C7B479">
            <w:pPr>
              <w:spacing w:line="360" w:lineRule="auto"/>
              <w:jc w:val="center"/>
              <w:rPr>
                <w:rFonts w:eastAsia="楷体_GB2312"/>
                <w:b/>
                <w:color w:val="000000"/>
                <w:sz w:val="28"/>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5032CF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top w:val="single" w:color="auto" w:sz="4" w:space="0"/>
              <w:bottom w:val="single" w:color="auto" w:sz="4" w:space="0"/>
            </w:tcBorders>
          </w:tcPr>
          <w:p w14:paraId="3AB1C080">
            <w:pPr>
              <w:spacing w:line="360" w:lineRule="auto"/>
              <w:rPr>
                <w:rFonts w:eastAsia="楷体_GB2312"/>
                <w:b/>
                <w:color w:val="000000"/>
                <w:sz w:val="18"/>
              </w:rPr>
            </w:pPr>
            <w:r>
              <w:rPr>
                <w:rFonts w:eastAsia="楷体_GB2312"/>
                <w:b/>
                <w:color w:val="000000"/>
              </w:rPr>
              <w:t>六、对证券化信托财产和信托事务管理产生重大影响的事项</w:t>
            </w:r>
          </w:p>
        </w:tc>
      </w:tr>
      <w:tr w14:paraId="705750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4856369A">
            <w:pPr>
              <w:spacing w:line="360" w:lineRule="auto"/>
              <w:jc w:val="left"/>
              <w:rPr>
                <w:rFonts w:eastAsia="楷体_GB2312"/>
                <w:b/>
                <w:color w:val="000000"/>
                <w:sz w:val="18"/>
                <w:szCs w:val="18"/>
              </w:rPr>
            </w:pPr>
            <w:r>
              <w:rPr>
                <w:rFonts w:eastAsia="楷体_GB2312"/>
                <w:b/>
                <w:color w:val="000000"/>
                <w:sz w:val="18"/>
                <w:szCs w:val="18"/>
              </w:rPr>
              <w:t>事项</w:t>
            </w:r>
          </w:p>
        </w:tc>
        <w:tc>
          <w:tcPr>
            <w:tcW w:w="1134" w:type="dxa"/>
            <w:tcBorders>
              <w:top w:val="single" w:color="auto" w:sz="4" w:space="0"/>
              <w:left w:val="single" w:color="auto" w:sz="4" w:space="0"/>
              <w:bottom w:val="single" w:color="auto" w:sz="4" w:space="0"/>
              <w:right w:val="single" w:color="auto" w:sz="4" w:space="0"/>
            </w:tcBorders>
          </w:tcPr>
          <w:p w14:paraId="2E799D78">
            <w:pPr>
              <w:spacing w:line="360" w:lineRule="auto"/>
              <w:jc w:val="center"/>
              <w:rPr>
                <w:rFonts w:eastAsia="楷体_GB2312"/>
                <w:b/>
                <w:color w:val="000000"/>
                <w:sz w:val="18"/>
                <w:szCs w:val="18"/>
              </w:rPr>
            </w:pPr>
            <w:r>
              <w:rPr>
                <w:rFonts w:eastAsia="楷体_GB2312"/>
                <w:b/>
                <w:color w:val="000000"/>
                <w:sz w:val="18"/>
                <w:szCs w:val="18"/>
              </w:rPr>
              <w:t>是否发生</w:t>
            </w:r>
          </w:p>
        </w:tc>
        <w:tc>
          <w:tcPr>
            <w:tcW w:w="4859" w:type="dxa"/>
            <w:tcBorders>
              <w:top w:val="single" w:color="auto" w:sz="4" w:space="0"/>
              <w:left w:val="single" w:color="auto" w:sz="4" w:space="0"/>
              <w:bottom w:val="single" w:color="auto" w:sz="4" w:space="0"/>
            </w:tcBorders>
          </w:tcPr>
          <w:p w14:paraId="0A9AD12D">
            <w:pPr>
              <w:spacing w:line="360" w:lineRule="auto"/>
              <w:jc w:val="center"/>
              <w:rPr>
                <w:rFonts w:eastAsia="楷体_GB2312"/>
                <w:b/>
                <w:color w:val="000000"/>
                <w:sz w:val="18"/>
                <w:szCs w:val="18"/>
              </w:rPr>
            </w:pPr>
            <w:r>
              <w:rPr>
                <w:rFonts w:eastAsia="楷体_GB2312"/>
                <w:b/>
                <w:color w:val="000000"/>
                <w:sz w:val="18"/>
                <w:szCs w:val="18"/>
              </w:rPr>
              <w:t>情况简述</w:t>
            </w:r>
          </w:p>
        </w:tc>
      </w:tr>
      <w:tr w14:paraId="39D32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60C6EE61">
            <w:pPr>
              <w:pStyle w:val="144"/>
              <w:numPr>
                <w:ilvl w:val="0"/>
                <w:numId w:val="48"/>
              </w:numPr>
              <w:spacing w:line="360" w:lineRule="auto"/>
              <w:ind w:firstLineChars="0"/>
              <w:rPr>
                <w:rFonts w:eastAsia="楷体_GB2312"/>
                <w:color w:val="000000"/>
                <w:sz w:val="18"/>
                <w:szCs w:val="18"/>
              </w:rPr>
            </w:pPr>
            <w:r>
              <w:rPr>
                <w:rFonts w:hint="eastAsia" w:eastAsia="楷体_GB2312"/>
                <w:color w:val="000000"/>
                <w:sz w:val="18"/>
                <w:szCs w:val="18"/>
              </w:rPr>
              <w:t>加速清偿事件（如有）</w:t>
            </w:r>
          </w:p>
        </w:tc>
        <w:tc>
          <w:tcPr>
            <w:tcW w:w="1134" w:type="dxa"/>
            <w:tcBorders>
              <w:top w:val="single" w:color="auto" w:sz="4" w:space="0"/>
              <w:left w:val="single" w:color="auto" w:sz="4" w:space="0"/>
              <w:bottom w:val="single" w:color="auto" w:sz="4" w:space="0"/>
              <w:right w:val="single" w:color="auto" w:sz="4" w:space="0"/>
            </w:tcBorders>
          </w:tcPr>
          <w:p w14:paraId="4AB3D7E1">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706DA801">
            <w:pPr>
              <w:spacing w:line="360" w:lineRule="auto"/>
              <w:jc w:val="center"/>
              <w:rPr>
                <w:rFonts w:eastAsia="楷体_GB2312"/>
                <w:color w:val="000000"/>
                <w:sz w:val="18"/>
                <w:szCs w:val="18"/>
              </w:rPr>
            </w:pPr>
          </w:p>
        </w:tc>
      </w:tr>
      <w:tr w14:paraId="2127C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73FF15D2">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违约事件</w:t>
            </w:r>
          </w:p>
        </w:tc>
        <w:tc>
          <w:tcPr>
            <w:tcW w:w="1134" w:type="dxa"/>
            <w:tcBorders>
              <w:top w:val="single" w:color="auto" w:sz="4" w:space="0"/>
              <w:left w:val="single" w:color="auto" w:sz="4" w:space="0"/>
              <w:bottom w:val="single" w:color="auto" w:sz="4" w:space="0"/>
              <w:right w:val="single" w:color="auto" w:sz="4" w:space="0"/>
            </w:tcBorders>
          </w:tcPr>
          <w:p w14:paraId="1BF4FDFF">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20C0D7E9">
            <w:pPr>
              <w:spacing w:line="360" w:lineRule="auto"/>
              <w:jc w:val="center"/>
              <w:rPr>
                <w:rFonts w:eastAsia="楷体_GB2312"/>
                <w:color w:val="000000"/>
                <w:sz w:val="18"/>
                <w:szCs w:val="18"/>
              </w:rPr>
            </w:pPr>
          </w:p>
        </w:tc>
      </w:tr>
      <w:tr w14:paraId="3F2F6C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0E5430A6">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权利完善事件</w:t>
            </w:r>
            <w:r>
              <w:rPr>
                <w:rFonts w:hint="eastAsia" w:eastAsia="楷体_GB2312"/>
                <w:color w:val="000000"/>
                <w:sz w:val="18"/>
                <w:szCs w:val="18"/>
              </w:rPr>
              <w:t>/</w:t>
            </w:r>
            <w:r>
              <w:rPr>
                <w:rFonts w:eastAsia="楷体_GB2312"/>
                <w:color w:val="000000"/>
                <w:sz w:val="18"/>
                <w:szCs w:val="18"/>
              </w:rPr>
              <w:t>个别通知事件</w:t>
            </w:r>
          </w:p>
        </w:tc>
        <w:tc>
          <w:tcPr>
            <w:tcW w:w="1134" w:type="dxa"/>
            <w:tcBorders>
              <w:top w:val="single" w:color="auto" w:sz="4" w:space="0"/>
              <w:left w:val="single" w:color="auto" w:sz="4" w:space="0"/>
              <w:bottom w:val="single" w:color="auto" w:sz="4" w:space="0"/>
              <w:right w:val="single" w:color="auto" w:sz="4" w:space="0"/>
            </w:tcBorders>
          </w:tcPr>
          <w:p w14:paraId="4EDB1025">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45072BFD">
            <w:pPr>
              <w:spacing w:line="360" w:lineRule="auto"/>
              <w:jc w:val="center"/>
              <w:rPr>
                <w:rFonts w:eastAsia="楷体_GB2312"/>
                <w:color w:val="000000"/>
                <w:sz w:val="18"/>
                <w:szCs w:val="18"/>
              </w:rPr>
            </w:pPr>
          </w:p>
        </w:tc>
      </w:tr>
      <w:tr w14:paraId="086B3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352CC021">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赎回</w:t>
            </w:r>
          </w:p>
        </w:tc>
        <w:tc>
          <w:tcPr>
            <w:tcW w:w="1134" w:type="dxa"/>
            <w:tcBorders>
              <w:top w:val="single" w:color="auto" w:sz="4" w:space="0"/>
              <w:left w:val="single" w:color="auto" w:sz="4" w:space="0"/>
              <w:bottom w:val="single" w:color="auto" w:sz="4" w:space="0"/>
              <w:right w:val="single" w:color="auto" w:sz="4" w:space="0"/>
            </w:tcBorders>
          </w:tcPr>
          <w:p w14:paraId="10D37A26">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1C01B436">
            <w:pPr>
              <w:spacing w:line="360" w:lineRule="auto"/>
              <w:jc w:val="center"/>
              <w:rPr>
                <w:rFonts w:eastAsia="楷体_GB2312"/>
                <w:color w:val="000000"/>
                <w:sz w:val="18"/>
                <w:szCs w:val="18"/>
              </w:rPr>
            </w:pPr>
          </w:p>
        </w:tc>
      </w:tr>
      <w:tr w14:paraId="501AC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14EEA6E4">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清仓回购</w:t>
            </w:r>
          </w:p>
        </w:tc>
        <w:tc>
          <w:tcPr>
            <w:tcW w:w="1134" w:type="dxa"/>
            <w:tcBorders>
              <w:top w:val="single" w:color="auto" w:sz="4" w:space="0"/>
              <w:left w:val="single" w:color="auto" w:sz="4" w:space="0"/>
              <w:bottom w:val="single" w:color="auto" w:sz="4" w:space="0"/>
              <w:right w:val="single" w:color="auto" w:sz="4" w:space="0"/>
            </w:tcBorders>
          </w:tcPr>
          <w:p w14:paraId="228537B2">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6BB66A59">
            <w:pPr>
              <w:spacing w:line="360" w:lineRule="auto"/>
              <w:jc w:val="center"/>
              <w:rPr>
                <w:rFonts w:eastAsia="楷体_GB2312"/>
                <w:color w:val="000000"/>
                <w:sz w:val="18"/>
                <w:szCs w:val="18"/>
              </w:rPr>
            </w:pPr>
          </w:p>
        </w:tc>
      </w:tr>
      <w:tr w14:paraId="02F823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2EFDA805">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丧失清偿能力事件</w:t>
            </w:r>
          </w:p>
        </w:tc>
        <w:tc>
          <w:tcPr>
            <w:tcW w:w="1134" w:type="dxa"/>
            <w:tcBorders>
              <w:top w:val="single" w:color="auto" w:sz="4" w:space="0"/>
              <w:left w:val="single" w:color="auto" w:sz="4" w:space="0"/>
              <w:bottom w:val="single" w:color="auto" w:sz="4" w:space="0"/>
              <w:right w:val="single" w:color="auto" w:sz="4" w:space="0"/>
            </w:tcBorders>
          </w:tcPr>
          <w:p w14:paraId="54239C56">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753164E2">
            <w:pPr>
              <w:spacing w:line="360" w:lineRule="auto"/>
              <w:jc w:val="center"/>
              <w:rPr>
                <w:rFonts w:eastAsia="楷体_GB2312"/>
                <w:color w:val="000000"/>
                <w:sz w:val="18"/>
                <w:szCs w:val="18"/>
              </w:rPr>
            </w:pPr>
          </w:p>
        </w:tc>
      </w:tr>
      <w:tr w14:paraId="1A37C3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802" w:type="dxa"/>
            <w:tcBorders>
              <w:top w:val="single" w:color="auto" w:sz="4" w:space="0"/>
              <w:bottom w:val="single" w:color="auto" w:sz="4" w:space="0"/>
              <w:right w:val="single" w:color="auto" w:sz="4" w:space="0"/>
            </w:tcBorders>
          </w:tcPr>
          <w:p w14:paraId="047865A4">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受托机构终止事件</w:t>
            </w:r>
          </w:p>
        </w:tc>
        <w:tc>
          <w:tcPr>
            <w:tcW w:w="1134" w:type="dxa"/>
            <w:tcBorders>
              <w:top w:val="single" w:color="auto" w:sz="4" w:space="0"/>
              <w:left w:val="single" w:color="auto" w:sz="4" w:space="0"/>
              <w:bottom w:val="single" w:color="auto" w:sz="4" w:space="0"/>
              <w:right w:val="single" w:color="auto" w:sz="4" w:space="0"/>
            </w:tcBorders>
          </w:tcPr>
          <w:p w14:paraId="19DFE567">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3D7059F4">
            <w:pPr>
              <w:spacing w:line="360" w:lineRule="auto"/>
              <w:jc w:val="center"/>
              <w:rPr>
                <w:rFonts w:eastAsia="楷体_GB2312"/>
                <w:color w:val="000000"/>
                <w:sz w:val="18"/>
                <w:szCs w:val="18"/>
              </w:rPr>
            </w:pPr>
          </w:p>
        </w:tc>
      </w:tr>
      <w:tr w14:paraId="451822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68508C87">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重大不利变化</w:t>
            </w:r>
          </w:p>
        </w:tc>
        <w:tc>
          <w:tcPr>
            <w:tcW w:w="1134" w:type="dxa"/>
            <w:tcBorders>
              <w:top w:val="single" w:color="auto" w:sz="4" w:space="0"/>
              <w:left w:val="single" w:color="auto" w:sz="4" w:space="0"/>
              <w:bottom w:val="single" w:color="auto" w:sz="4" w:space="0"/>
              <w:right w:val="single" w:color="auto" w:sz="4" w:space="0"/>
            </w:tcBorders>
          </w:tcPr>
          <w:p w14:paraId="752BFAC5">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33404EB4">
            <w:pPr>
              <w:spacing w:line="360" w:lineRule="auto"/>
              <w:jc w:val="center"/>
              <w:rPr>
                <w:rFonts w:eastAsia="楷体_GB2312"/>
                <w:color w:val="000000"/>
                <w:sz w:val="18"/>
                <w:szCs w:val="18"/>
              </w:rPr>
            </w:pPr>
          </w:p>
        </w:tc>
      </w:tr>
      <w:tr w14:paraId="1233F1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49DE9A85">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重大不利影响</w:t>
            </w:r>
          </w:p>
        </w:tc>
        <w:tc>
          <w:tcPr>
            <w:tcW w:w="1134" w:type="dxa"/>
            <w:tcBorders>
              <w:top w:val="single" w:color="auto" w:sz="4" w:space="0"/>
              <w:left w:val="single" w:color="auto" w:sz="4" w:space="0"/>
              <w:bottom w:val="single" w:color="auto" w:sz="4" w:space="0"/>
              <w:right w:val="single" w:color="auto" w:sz="4" w:space="0"/>
            </w:tcBorders>
          </w:tcPr>
          <w:p w14:paraId="7BDAC5B1">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12DF0E4A">
            <w:pPr>
              <w:spacing w:line="360" w:lineRule="auto"/>
              <w:jc w:val="center"/>
              <w:rPr>
                <w:rFonts w:eastAsia="楷体_GB2312"/>
                <w:color w:val="000000"/>
                <w:sz w:val="18"/>
                <w:szCs w:val="18"/>
              </w:rPr>
            </w:pPr>
          </w:p>
        </w:tc>
      </w:tr>
      <w:tr w14:paraId="1CB62D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6DC25D9B">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受托人解任事件</w:t>
            </w:r>
          </w:p>
        </w:tc>
        <w:tc>
          <w:tcPr>
            <w:tcW w:w="1134" w:type="dxa"/>
            <w:tcBorders>
              <w:top w:val="single" w:color="auto" w:sz="4" w:space="0"/>
              <w:left w:val="single" w:color="auto" w:sz="4" w:space="0"/>
              <w:bottom w:val="single" w:color="auto" w:sz="4" w:space="0"/>
              <w:right w:val="single" w:color="auto" w:sz="4" w:space="0"/>
            </w:tcBorders>
          </w:tcPr>
          <w:p w14:paraId="548DF02E">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6443EBB3">
            <w:pPr>
              <w:spacing w:line="360" w:lineRule="auto"/>
              <w:jc w:val="center"/>
              <w:rPr>
                <w:rFonts w:eastAsia="楷体_GB2312"/>
                <w:color w:val="000000"/>
                <w:sz w:val="18"/>
                <w:szCs w:val="18"/>
              </w:rPr>
            </w:pPr>
          </w:p>
        </w:tc>
      </w:tr>
      <w:tr w14:paraId="45176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14083ABD">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贷款服务机构解任事件</w:t>
            </w:r>
          </w:p>
        </w:tc>
        <w:tc>
          <w:tcPr>
            <w:tcW w:w="1134" w:type="dxa"/>
            <w:tcBorders>
              <w:top w:val="single" w:color="auto" w:sz="4" w:space="0"/>
              <w:left w:val="single" w:color="auto" w:sz="4" w:space="0"/>
              <w:bottom w:val="single" w:color="auto" w:sz="4" w:space="0"/>
              <w:right w:val="single" w:color="auto" w:sz="4" w:space="0"/>
            </w:tcBorders>
          </w:tcPr>
          <w:p w14:paraId="1AC224A7">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2504D2CB">
            <w:pPr>
              <w:spacing w:line="360" w:lineRule="auto"/>
              <w:jc w:val="center"/>
              <w:rPr>
                <w:rFonts w:eastAsia="楷体_GB2312"/>
                <w:color w:val="000000"/>
                <w:sz w:val="18"/>
                <w:szCs w:val="18"/>
              </w:rPr>
            </w:pPr>
          </w:p>
        </w:tc>
      </w:tr>
      <w:tr w14:paraId="351C2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2E745E26">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资金保管机构解任事件</w:t>
            </w:r>
          </w:p>
        </w:tc>
        <w:tc>
          <w:tcPr>
            <w:tcW w:w="1134" w:type="dxa"/>
            <w:tcBorders>
              <w:top w:val="single" w:color="auto" w:sz="4" w:space="0"/>
              <w:left w:val="single" w:color="auto" w:sz="4" w:space="0"/>
              <w:bottom w:val="single" w:color="auto" w:sz="4" w:space="0"/>
              <w:right w:val="single" w:color="auto" w:sz="4" w:space="0"/>
            </w:tcBorders>
          </w:tcPr>
          <w:p w14:paraId="414C96E5">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3245A6C9">
            <w:pPr>
              <w:spacing w:line="360" w:lineRule="auto"/>
              <w:jc w:val="center"/>
              <w:rPr>
                <w:rFonts w:eastAsia="楷体_GB2312"/>
                <w:color w:val="000000"/>
                <w:sz w:val="18"/>
                <w:szCs w:val="18"/>
              </w:rPr>
            </w:pPr>
          </w:p>
        </w:tc>
      </w:tr>
      <w:tr w14:paraId="7F6F7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1508C370">
            <w:pPr>
              <w:pStyle w:val="144"/>
              <w:numPr>
                <w:ilvl w:val="0"/>
                <w:numId w:val="48"/>
              </w:numPr>
              <w:spacing w:line="360" w:lineRule="auto"/>
              <w:ind w:firstLineChars="0"/>
              <w:rPr>
                <w:rFonts w:eastAsia="楷体_GB2312"/>
                <w:color w:val="000000"/>
                <w:sz w:val="18"/>
                <w:szCs w:val="18"/>
              </w:rPr>
            </w:pPr>
            <w:r>
              <w:rPr>
                <w:rFonts w:eastAsia="楷体_GB2312"/>
                <w:color w:val="000000"/>
                <w:sz w:val="18"/>
                <w:szCs w:val="18"/>
              </w:rPr>
              <w:t>资产支持证券持有人大会</w:t>
            </w:r>
          </w:p>
        </w:tc>
        <w:tc>
          <w:tcPr>
            <w:tcW w:w="1134" w:type="dxa"/>
            <w:tcBorders>
              <w:top w:val="single" w:color="auto" w:sz="4" w:space="0"/>
              <w:left w:val="single" w:color="auto" w:sz="4" w:space="0"/>
              <w:bottom w:val="single" w:color="auto" w:sz="4" w:space="0"/>
              <w:right w:val="single" w:color="auto" w:sz="4" w:space="0"/>
            </w:tcBorders>
          </w:tcPr>
          <w:p w14:paraId="0C3E62AD">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505C4929">
            <w:pPr>
              <w:spacing w:line="360" w:lineRule="auto"/>
              <w:jc w:val="center"/>
              <w:rPr>
                <w:rFonts w:eastAsia="楷体_GB2312"/>
                <w:color w:val="000000"/>
                <w:sz w:val="18"/>
                <w:szCs w:val="18"/>
              </w:rPr>
            </w:pPr>
          </w:p>
        </w:tc>
      </w:tr>
      <w:tr w14:paraId="225DF1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72B08564">
            <w:pPr>
              <w:pStyle w:val="144"/>
              <w:numPr>
                <w:ilvl w:val="0"/>
                <w:numId w:val="48"/>
              </w:numPr>
              <w:spacing w:line="360" w:lineRule="auto"/>
              <w:ind w:firstLineChars="0"/>
              <w:rPr>
                <w:rFonts w:eastAsia="楷体_GB2312"/>
                <w:color w:val="000000"/>
                <w:sz w:val="18"/>
                <w:szCs w:val="18"/>
              </w:rPr>
            </w:pPr>
            <w:r>
              <w:rPr>
                <w:rFonts w:hint="eastAsia" w:eastAsia="楷体_GB2312"/>
                <w:color w:val="000000"/>
                <w:sz w:val="18"/>
                <w:szCs w:val="18"/>
              </w:rPr>
              <w:t>法定到期日延长</w:t>
            </w:r>
          </w:p>
        </w:tc>
        <w:tc>
          <w:tcPr>
            <w:tcW w:w="1134" w:type="dxa"/>
            <w:tcBorders>
              <w:top w:val="single" w:color="auto" w:sz="4" w:space="0"/>
              <w:left w:val="single" w:color="auto" w:sz="4" w:space="0"/>
              <w:bottom w:val="single" w:color="auto" w:sz="4" w:space="0"/>
              <w:right w:val="single" w:color="auto" w:sz="4" w:space="0"/>
            </w:tcBorders>
          </w:tcPr>
          <w:p w14:paraId="78FA3F71">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3360C478">
            <w:pPr>
              <w:spacing w:line="360" w:lineRule="auto"/>
              <w:jc w:val="center"/>
              <w:rPr>
                <w:rFonts w:eastAsia="楷体_GB2312"/>
                <w:color w:val="000000"/>
                <w:sz w:val="18"/>
                <w:szCs w:val="18"/>
              </w:rPr>
            </w:pPr>
          </w:p>
        </w:tc>
      </w:tr>
      <w:tr w14:paraId="6EB51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08F962E7">
            <w:pPr>
              <w:pStyle w:val="144"/>
              <w:numPr>
                <w:ilvl w:val="0"/>
                <w:numId w:val="48"/>
              </w:numPr>
              <w:spacing w:line="360" w:lineRule="auto"/>
              <w:ind w:firstLineChars="0"/>
              <w:rPr>
                <w:rFonts w:eastAsia="楷体_GB2312"/>
                <w:color w:val="000000"/>
                <w:sz w:val="18"/>
                <w:szCs w:val="18"/>
              </w:rPr>
            </w:pPr>
            <w:r>
              <w:rPr>
                <w:rFonts w:hint="eastAsia" w:eastAsia="楷体_GB2312"/>
                <w:color w:val="000000"/>
                <w:sz w:val="18"/>
                <w:szCs w:val="18"/>
              </w:rPr>
              <w:t>清算期延长</w:t>
            </w:r>
          </w:p>
        </w:tc>
        <w:tc>
          <w:tcPr>
            <w:tcW w:w="1134" w:type="dxa"/>
            <w:tcBorders>
              <w:top w:val="single" w:color="auto" w:sz="4" w:space="0"/>
              <w:left w:val="single" w:color="auto" w:sz="4" w:space="0"/>
              <w:bottom w:val="single" w:color="auto" w:sz="4" w:space="0"/>
              <w:right w:val="single" w:color="auto" w:sz="4" w:space="0"/>
            </w:tcBorders>
          </w:tcPr>
          <w:p w14:paraId="6253E373">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4749A112">
            <w:pPr>
              <w:spacing w:line="360" w:lineRule="auto"/>
              <w:jc w:val="center"/>
              <w:rPr>
                <w:rFonts w:eastAsia="楷体_GB2312"/>
                <w:color w:val="000000"/>
                <w:sz w:val="18"/>
                <w:szCs w:val="18"/>
              </w:rPr>
            </w:pPr>
          </w:p>
        </w:tc>
      </w:tr>
      <w:tr w14:paraId="22B558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02" w:type="dxa"/>
            <w:tcBorders>
              <w:top w:val="single" w:color="auto" w:sz="4" w:space="0"/>
              <w:bottom w:val="single" w:color="auto" w:sz="4" w:space="0"/>
              <w:right w:val="single" w:color="auto" w:sz="4" w:space="0"/>
            </w:tcBorders>
          </w:tcPr>
          <w:p w14:paraId="345D8715">
            <w:pPr>
              <w:pStyle w:val="144"/>
              <w:numPr>
                <w:ilvl w:val="0"/>
                <w:numId w:val="48"/>
              </w:numPr>
              <w:spacing w:line="360" w:lineRule="auto"/>
              <w:ind w:left="0" w:firstLine="0" w:firstLineChars="0"/>
              <w:rPr>
                <w:rFonts w:eastAsia="楷体_GB2312"/>
                <w:color w:val="000000"/>
                <w:sz w:val="18"/>
                <w:szCs w:val="18"/>
              </w:rPr>
            </w:pPr>
            <w:r>
              <w:rPr>
                <w:rFonts w:eastAsia="楷体_GB2312"/>
                <w:color w:val="000000"/>
                <w:sz w:val="18"/>
                <w:szCs w:val="18"/>
              </w:rPr>
              <w:t>其他影响</w:t>
            </w:r>
            <w:r>
              <w:rPr>
                <w:rFonts w:hint="eastAsia" w:eastAsia="楷体_GB2312"/>
                <w:color w:val="000000"/>
                <w:sz w:val="18"/>
                <w:szCs w:val="18"/>
              </w:rPr>
              <w:t>证券</w:t>
            </w:r>
            <w:r>
              <w:rPr>
                <w:rFonts w:eastAsia="楷体_GB2312"/>
                <w:color w:val="000000"/>
                <w:sz w:val="18"/>
                <w:szCs w:val="18"/>
              </w:rPr>
              <w:t>本息兑付或投资者利益的事项</w:t>
            </w:r>
            <w:r>
              <w:rPr>
                <w:rFonts w:hint="eastAsia" w:eastAsia="楷体_GB2312"/>
                <w:color w:val="000000"/>
                <w:sz w:val="18"/>
                <w:szCs w:val="18"/>
              </w:rPr>
              <w:t>（如负面的催收相关事项）</w:t>
            </w:r>
          </w:p>
        </w:tc>
        <w:tc>
          <w:tcPr>
            <w:tcW w:w="1134" w:type="dxa"/>
            <w:tcBorders>
              <w:top w:val="single" w:color="auto" w:sz="4" w:space="0"/>
              <w:left w:val="single" w:color="auto" w:sz="4" w:space="0"/>
              <w:bottom w:val="single" w:color="auto" w:sz="4" w:space="0"/>
              <w:right w:val="single" w:color="auto" w:sz="4" w:space="0"/>
            </w:tcBorders>
          </w:tcPr>
          <w:p w14:paraId="0313F232">
            <w:pPr>
              <w:spacing w:line="360" w:lineRule="auto"/>
              <w:jc w:val="center"/>
              <w:rPr>
                <w:rFonts w:eastAsia="楷体_GB2312"/>
                <w:color w:val="000000"/>
                <w:sz w:val="18"/>
                <w:szCs w:val="18"/>
              </w:rPr>
            </w:pPr>
          </w:p>
        </w:tc>
        <w:tc>
          <w:tcPr>
            <w:tcW w:w="4859" w:type="dxa"/>
            <w:tcBorders>
              <w:top w:val="single" w:color="auto" w:sz="4" w:space="0"/>
              <w:left w:val="single" w:color="auto" w:sz="4" w:space="0"/>
              <w:bottom w:val="single" w:color="auto" w:sz="4" w:space="0"/>
            </w:tcBorders>
          </w:tcPr>
          <w:p w14:paraId="2F3F192B">
            <w:pPr>
              <w:spacing w:line="360" w:lineRule="auto"/>
              <w:jc w:val="center"/>
              <w:rPr>
                <w:rFonts w:eastAsia="楷体_GB2312"/>
                <w:color w:val="000000"/>
                <w:sz w:val="18"/>
                <w:szCs w:val="18"/>
              </w:rPr>
            </w:pPr>
          </w:p>
        </w:tc>
      </w:tr>
    </w:tbl>
    <w:p w14:paraId="2211C541">
      <w:pPr>
        <w:spacing w:line="360" w:lineRule="auto"/>
        <w:rPr>
          <w:rFonts w:eastAsia="楷体_GB2312"/>
          <w:b/>
          <w:bCs/>
          <w:i/>
          <w:iCs/>
          <w:color w:val="FF0000"/>
        </w:rPr>
      </w:pPr>
    </w:p>
    <w:p w14:paraId="1EC90769">
      <w:pPr>
        <w:spacing w:line="360" w:lineRule="auto"/>
        <w:rPr>
          <w:rFonts w:eastAsia="楷体_GB2312"/>
          <w:b/>
          <w:bCs/>
          <w:i/>
          <w:iCs/>
          <w:color w:val="FF0000"/>
        </w:rPr>
      </w:pPr>
      <w:r>
        <w:rPr>
          <w:rFonts w:eastAsia="楷体_GB2312"/>
          <w:b/>
          <w:bCs/>
          <w:i/>
          <w:iCs/>
          <w:color w:val="FF0000"/>
        </w:rPr>
        <w:t>【注：</w:t>
      </w:r>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r>
        <w:rPr>
          <w:rFonts w:eastAsia="楷体_GB2312"/>
          <w:b/>
          <w:bCs/>
          <w:i/>
          <w:iCs/>
          <w:color w:val="FF0000"/>
        </w:rPr>
        <w:t>。】</w:t>
      </w:r>
    </w:p>
    <w:p w14:paraId="212E14D9">
      <w:pPr>
        <w:spacing w:line="360" w:lineRule="auto"/>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6"/>
      </w:tblGrid>
      <w:tr w14:paraId="30DB7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bottom w:val="single" w:color="auto" w:sz="4" w:space="0"/>
            </w:tcBorders>
          </w:tcPr>
          <w:p w14:paraId="7FE28A2A">
            <w:pPr>
              <w:spacing w:line="360" w:lineRule="auto"/>
              <w:jc w:val="center"/>
              <w:rPr>
                <w:rFonts w:eastAsia="楷体_GB2312"/>
                <w:b/>
                <w:color w:val="000000"/>
                <w:sz w:val="28"/>
              </w:rPr>
            </w:pPr>
            <w:r>
              <w:rPr>
                <w:rFonts w:eastAsia="楷体_GB2312"/>
                <w:b/>
                <w:color w:val="000000"/>
                <w:sz w:val="28"/>
              </w:rPr>
              <w:t>信托名称</w:t>
            </w:r>
            <w:r>
              <w:rPr>
                <w:rFonts w:eastAsia="楷体_GB2312"/>
                <w:b/>
                <w:color w:val="000000"/>
                <w:sz w:val="28"/>
              </w:rPr>
              <w:br w:type="textWrapping" w:clear="all"/>
            </w:r>
            <w:r>
              <w:rPr>
                <w:rFonts w:eastAsia="楷体_GB2312"/>
                <w:b/>
                <w:color w:val="000000"/>
                <w:sz w:val="28"/>
              </w:rPr>
              <w:t>期间/年度受托机构报告</w:t>
            </w:r>
          </w:p>
        </w:tc>
      </w:tr>
      <w:tr w14:paraId="51FD3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Borders>
              <w:top w:val="single" w:color="auto" w:sz="4" w:space="0"/>
              <w:bottom w:val="nil"/>
            </w:tcBorders>
          </w:tcPr>
          <w:p w14:paraId="6F41FFBF">
            <w:pPr>
              <w:spacing w:line="360" w:lineRule="auto"/>
              <w:rPr>
                <w:rFonts w:eastAsia="楷体_GB2312"/>
                <w:b/>
                <w:color w:val="000000"/>
              </w:rPr>
            </w:pPr>
          </w:p>
        </w:tc>
      </w:tr>
      <w:tr w14:paraId="0C28E3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7A21A17F">
            <w:pPr>
              <w:spacing w:line="360" w:lineRule="auto"/>
              <w:rPr>
                <w:rFonts w:eastAsia="楷体_GB2312"/>
                <w:color w:val="000000"/>
              </w:rPr>
            </w:pPr>
            <w:r>
              <w:rPr>
                <w:rFonts w:eastAsia="楷体_GB2312"/>
                <w:color w:val="000000"/>
              </w:rPr>
              <w:t>七、本期发生/未发生损害信托财产、委托人或者受益人利益等重大事项，（如发生）受托人采取的应对措施和解决情况如下：【】</w:t>
            </w:r>
          </w:p>
          <w:p w14:paraId="773D77C6">
            <w:pPr>
              <w:spacing w:line="360" w:lineRule="auto"/>
              <w:rPr>
                <w:rFonts w:eastAsia="楷体_GB2312"/>
                <w:color w:val="000000"/>
              </w:rPr>
            </w:pPr>
          </w:p>
        </w:tc>
      </w:tr>
      <w:tr w14:paraId="7DBAF0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17B95ACB">
            <w:pPr>
              <w:spacing w:line="360" w:lineRule="auto"/>
              <w:rPr>
                <w:rFonts w:eastAsia="楷体_GB2312"/>
                <w:color w:val="000000"/>
              </w:rPr>
            </w:pPr>
            <w:r>
              <w:rPr>
                <w:rFonts w:eastAsia="楷体_GB2312"/>
                <w:color w:val="000000"/>
              </w:rPr>
              <w:t>八、本期受托人如期正常地收到贷款服务机构报告及资金保管报告。</w:t>
            </w:r>
          </w:p>
          <w:p w14:paraId="3CDCCD40">
            <w:pPr>
              <w:spacing w:line="360" w:lineRule="auto"/>
              <w:jc w:val="center"/>
              <w:rPr>
                <w:rFonts w:eastAsia="楷体_GB2312"/>
                <w:color w:val="000000"/>
              </w:rPr>
            </w:pPr>
          </w:p>
        </w:tc>
      </w:tr>
      <w:tr w14:paraId="651C76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079EFB6D">
            <w:pPr>
              <w:spacing w:line="360" w:lineRule="auto"/>
              <w:rPr>
                <w:rFonts w:eastAsia="楷体_GB2312"/>
                <w:color w:val="000000"/>
              </w:rPr>
            </w:pPr>
            <w:r>
              <w:rPr>
                <w:rFonts w:eastAsia="楷体_GB2312"/>
                <w:color w:val="000000"/>
              </w:rPr>
              <w:t>九、（如发生）由于本期贷款服务机构报告和资金保管报告金额的差异造成本期受托机构报告中某些金额不符，受托人正在督促以上两方进行核对、更正。（如发生）上期报告中差异更正如下：</w:t>
            </w:r>
          </w:p>
          <w:p w14:paraId="79203EF7">
            <w:pPr>
              <w:spacing w:line="360" w:lineRule="auto"/>
              <w:rPr>
                <w:rFonts w:eastAsia="楷体_GB2312"/>
                <w:color w:val="000000"/>
              </w:rPr>
            </w:pPr>
          </w:p>
        </w:tc>
      </w:tr>
      <w:tr w14:paraId="2AB8BE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tcPr>
          <w:p w14:paraId="1001A8E3">
            <w:pPr>
              <w:spacing w:line="360" w:lineRule="auto"/>
              <w:rPr>
                <w:rFonts w:eastAsia="楷体_GB2312"/>
                <w:color w:val="000000"/>
              </w:rPr>
            </w:pPr>
            <w:r>
              <w:rPr>
                <w:rFonts w:eastAsia="楷体_GB2312"/>
                <w:color w:val="000000"/>
              </w:rPr>
              <w:t>十、备查文件：1.贷款服务机构报告；2.资金保管报告。</w:t>
            </w:r>
          </w:p>
        </w:tc>
      </w:tr>
    </w:tbl>
    <w:p w14:paraId="0C6BF4F1">
      <w:pPr>
        <w:spacing w:line="360" w:lineRule="auto"/>
        <w:rPr>
          <w:rFonts w:eastAsia="楷体_GB2312"/>
          <w:color w:val="000000"/>
        </w:rPr>
      </w:pPr>
    </w:p>
    <w:p w14:paraId="24A07E65">
      <w:pPr>
        <w:spacing w:line="360" w:lineRule="auto"/>
        <w:rPr>
          <w:rFonts w:eastAsia="楷体_GB2312"/>
          <w:color w:val="000000"/>
        </w:rPr>
      </w:pPr>
      <w:r>
        <w:rPr>
          <w:rFonts w:eastAsia="楷体_GB2312"/>
          <w:color w:val="000000"/>
        </w:rPr>
        <w:br w:type="page"/>
      </w:r>
    </w:p>
    <w:tbl>
      <w:tblPr>
        <w:tblStyle w:val="28"/>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14:paraId="59D1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3C1DAF0D">
            <w:pPr>
              <w:spacing w:line="360" w:lineRule="auto"/>
              <w:jc w:val="center"/>
              <w:rPr>
                <w:rFonts w:eastAsia="楷体_GB2312"/>
                <w:b/>
                <w:color w:val="000000"/>
                <w:sz w:val="28"/>
                <w:szCs w:val="28"/>
              </w:rPr>
            </w:pPr>
            <w:r>
              <w:rPr>
                <w:rFonts w:eastAsia="楷体_GB2312"/>
                <w:b/>
                <w:color w:val="000000"/>
                <w:sz w:val="28"/>
              </w:rPr>
              <w:t>信托名称期间/年度受托机构报告</w:t>
            </w:r>
          </w:p>
        </w:tc>
      </w:tr>
      <w:tr w14:paraId="478A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14:paraId="4DC52615">
            <w:pPr>
              <w:spacing w:line="360" w:lineRule="auto"/>
              <w:rPr>
                <w:rFonts w:eastAsia="楷体_GB2312"/>
                <w:b/>
                <w:color w:val="000000"/>
                <w:szCs w:val="21"/>
              </w:rPr>
            </w:pPr>
            <w:r>
              <w:rPr>
                <w:rFonts w:eastAsia="楷体_GB2312"/>
                <w:b/>
                <w:color w:val="000000"/>
                <w:szCs w:val="21"/>
              </w:rPr>
              <w:t>指标释义：</w:t>
            </w:r>
          </w:p>
          <w:p w14:paraId="1F52D38A">
            <w:pPr>
              <w:spacing w:line="360" w:lineRule="auto"/>
              <w:rPr>
                <w:rFonts w:eastAsia="楷体_GB2312"/>
                <w:color w:val="000000"/>
                <w:sz w:val="18"/>
              </w:rPr>
            </w:pPr>
            <w:r>
              <w:rPr>
                <w:rFonts w:eastAsia="楷体_GB2312"/>
                <w:color w:val="000000"/>
                <w:szCs w:val="21"/>
              </w:rPr>
              <w:t>1.每个“支付日”应支付的“优先级资产支持证券”的利息=“优先级资产支持证券”在该“支付日”本金兑付前的“未偿本金余额”（就第一个“支付日”而言，即“优先级资产支持证券”在“信托生效日”的面值）×票面利率×“计息期间”实际天数÷365；尾数计算到分，分以下四舍五入；单利计息。</w:t>
            </w:r>
          </w:p>
        </w:tc>
      </w:tr>
    </w:tbl>
    <w:p w14:paraId="1858F93D">
      <w:pPr>
        <w:spacing w:line="360" w:lineRule="auto"/>
        <w:rPr>
          <w:rFonts w:eastAsia="楷体_GB2312"/>
        </w:rPr>
      </w:pPr>
    </w:p>
    <w:p w14:paraId="285E5F5F">
      <w:pPr>
        <w:spacing w:line="360" w:lineRule="auto"/>
        <w:rPr>
          <w:rFonts w:eastAsia="楷体_GB2312"/>
          <w:color w:val="000000"/>
        </w:rPr>
      </w:pPr>
    </w:p>
    <w:p w14:paraId="477D7A8E">
      <w:pPr>
        <w:spacing w:line="360" w:lineRule="auto"/>
        <w:ind w:right="105"/>
        <w:jc w:val="right"/>
        <w:rPr>
          <w:rFonts w:eastAsia="楷体_GB2312"/>
          <w:color w:val="000000"/>
        </w:rPr>
      </w:pPr>
      <w:r>
        <w:rPr>
          <w:rFonts w:eastAsia="楷体_GB2312"/>
          <w:color w:val="000000"/>
        </w:rPr>
        <w:t>【受托机构全称】</w:t>
      </w:r>
    </w:p>
    <w:p w14:paraId="33D37885">
      <w:pPr>
        <w:spacing w:line="360" w:lineRule="auto"/>
        <w:jc w:val="right"/>
        <w:rPr>
          <w:rFonts w:eastAsia="楷体_GB2312"/>
          <w:b/>
          <w:color w:val="000000"/>
          <w:sz w:val="24"/>
        </w:rPr>
      </w:pPr>
      <w:r>
        <w:rPr>
          <w:rFonts w:eastAsia="楷体_GB2312"/>
          <w:color w:val="000000"/>
        </w:rPr>
        <w:t>【  】年【  】月【  】日</w:t>
      </w:r>
    </w:p>
    <w:p w14:paraId="52C36579">
      <w:pPr>
        <w:spacing w:line="360" w:lineRule="auto"/>
        <w:rPr>
          <w:rFonts w:eastAsia="楷体_GB2312"/>
          <w:b/>
          <w:color w:val="000000"/>
          <w:sz w:val="24"/>
        </w:rPr>
      </w:pPr>
    </w:p>
    <w:p w14:paraId="2D18C706">
      <w:pPr>
        <w:spacing w:line="360" w:lineRule="auto"/>
        <w:outlineLvl w:val="0"/>
        <w:rPr>
          <w:rFonts w:eastAsia="楷体_GB2312"/>
          <w:b/>
          <w:color w:val="000000"/>
          <w:sz w:val="24"/>
        </w:rPr>
      </w:pPr>
      <w:r>
        <w:rPr>
          <w:rFonts w:eastAsia="楷体_GB2312"/>
          <w:b/>
          <w:color w:val="000000"/>
          <w:sz w:val="24"/>
        </w:rPr>
        <w:br w:type="page"/>
      </w:r>
      <w:bookmarkStart w:id="1814" w:name="_Toc418802629"/>
      <w:bookmarkStart w:id="1815" w:name="_Toc225538190"/>
      <w:bookmarkStart w:id="1816" w:name="_Toc219710709"/>
      <w:bookmarkStart w:id="1817" w:name="_Hlk227694203"/>
      <w:r>
        <w:rPr>
          <w:rFonts w:eastAsia="楷体_GB2312"/>
          <w:b/>
          <w:color w:val="000000"/>
          <w:sz w:val="24"/>
        </w:rPr>
        <w:t>附件十一：重大事件报告书</w:t>
      </w:r>
      <w:bookmarkEnd w:id="1814"/>
      <w:r>
        <w:rPr>
          <w:rFonts w:eastAsia="楷体_GB2312"/>
          <w:b/>
          <w:color w:val="000000"/>
          <w:sz w:val="24"/>
        </w:rPr>
        <w:t>参考格式</w:t>
      </w:r>
      <w:bookmarkEnd w:id="1815"/>
      <w:bookmarkEnd w:id="1816"/>
    </w:p>
    <w:p w14:paraId="2A97F285">
      <w:pPr>
        <w:spacing w:line="360" w:lineRule="auto"/>
        <w:jc w:val="center"/>
        <w:rPr>
          <w:rFonts w:eastAsia="楷体_GB2312"/>
          <w:b/>
          <w:color w:val="000000"/>
          <w:sz w:val="32"/>
          <w:szCs w:val="32"/>
        </w:rPr>
      </w:pPr>
      <w:r>
        <w:rPr>
          <w:rFonts w:eastAsia="楷体_GB2312"/>
          <w:b/>
          <w:color w:val="000000"/>
          <w:sz w:val="32"/>
          <w:szCs w:val="32"/>
        </w:rPr>
        <w:t>信托名称</w:t>
      </w:r>
    </w:p>
    <w:p w14:paraId="223F9AC8">
      <w:pPr>
        <w:spacing w:line="360" w:lineRule="auto"/>
        <w:jc w:val="center"/>
        <w:rPr>
          <w:rFonts w:eastAsia="楷体_GB2312"/>
          <w:b/>
          <w:color w:val="000000"/>
          <w:sz w:val="44"/>
        </w:rPr>
      </w:pPr>
      <w:r>
        <w:rPr>
          <w:rFonts w:eastAsia="楷体_GB2312"/>
          <w:b/>
          <w:color w:val="000000"/>
          <w:sz w:val="32"/>
          <w:szCs w:val="32"/>
        </w:rPr>
        <w:t>重大事件报告书</w:t>
      </w:r>
    </w:p>
    <w:p w14:paraId="7D21A28D">
      <w:pPr>
        <w:spacing w:line="360" w:lineRule="auto"/>
        <w:jc w:val="center"/>
        <w:rPr>
          <w:rFonts w:eastAsia="楷体_GB2312"/>
          <w:b/>
          <w:color w:val="000000"/>
          <w:sz w:val="44"/>
        </w:rPr>
      </w:pPr>
    </w:p>
    <w:p w14:paraId="0E65E866">
      <w:pPr>
        <w:spacing w:line="360" w:lineRule="auto"/>
        <w:rPr>
          <w:rFonts w:eastAsia="楷体_GB2312"/>
          <w:b/>
          <w:color w:val="000000"/>
        </w:rPr>
      </w:pPr>
    </w:p>
    <w:tbl>
      <w:tblPr>
        <w:tblStyle w:val="28"/>
        <w:tblW w:w="0" w:type="dxa"/>
        <w:jc w:val="center"/>
        <w:tblLayout w:type="fixed"/>
        <w:tblCellMar>
          <w:top w:w="0" w:type="dxa"/>
          <w:left w:w="0" w:type="dxa"/>
          <w:bottom w:w="0" w:type="dxa"/>
          <w:right w:w="0" w:type="dxa"/>
        </w:tblCellMar>
      </w:tblPr>
      <w:tblGrid>
        <w:gridCol w:w="6360"/>
      </w:tblGrid>
      <w:tr w14:paraId="49FE231E">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76913731">
            <w:pPr>
              <w:spacing w:line="360" w:lineRule="auto"/>
              <w:jc w:val="center"/>
              <w:rPr>
                <w:rFonts w:eastAsia="楷体_GB2312"/>
                <w:b/>
                <w:color w:val="000000"/>
              </w:rPr>
            </w:pPr>
            <w:r>
              <w:rPr>
                <w:rFonts w:eastAsia="楷体_GB2312"/>
                <w:b/>
                <w:color w:val="000000"/>
              </w:rPr>
              <w:t>受托人声明</w:t>
            </w:r>
          </w:p>
          <w:p w14:paraId="3BFF3E19">
            <w:pPr>
              <w:spacing w:line="360" w:lineRule="auto"/>
              <w:ind w:firstLine="422" w:firstLineChars="200"/>
              <w:rPr>
                <w:rFonts w:eastAsia="楷体_GB2312"/>
                <w:b/>
                <w:color w:val="000000"/>
              </w:rPr>
            </w:pPr>
            <w:r>
              <w:rPr>
                <w:rFonts w:eastAsia="楷体_GB2312"/>
                <w:b/>
                <w:color w:val="000000"/>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35960E2A">
      <w:pPr>
        <w:spacing w:line="360" w:lineRule="auto"/>
        <w:jc w:val="center"/>
        <w:rPr>
          <w:rFonts w:eastAsia="楷体_GB2312"/>
          <w:b/>
          <w:color w:val="000000"/>
        </w:rPr>
      </w:pPr>
    </w:p>
    <w:tbl>
      <w:tblPr>
        <w:tblStyle w:val="28"/>
        <w:tblW w:w="0" w:type="dxa"/>
        <w:jc w:val="center"/>
        <w:tblLayout w:type="fixed"/>
        <w:tblCellMar>
          <w:top w:w="0" w:type="dxa"/>
          <w:left w:w="0" w:type="dxa"/>
          <w:bottom w:w="0" w:type="dxa"/>
          <w:right w:w="0" w:type="dxa"/>
        </w:tblCellMar>
      </w:tblPr>
      <w:tblGrid>
        <w:gridCol w:w="1680"/>
        <w:gridCol w:w="5670"/>
      </w:tblGrid>
      <w:tr w14:paraId="2DEB9E09">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8AA3A0C">
            <w:pPr>
              <w:spacing w:line="360" w:lineRule="auto"/>
              <w:jc w:val="right"/>
              <w:rPr>
                <w:rFonts w:eastAsia="楷体_GB2312"/>
                <w:b/>
                <w:color w:val="000000"/>
              </w:rPr>
            </w:pPr>
            <w:r>
              <w:rPr>
                <w:rFonts w:eastAsia="楷体_GB2312"/>
                <w:b/>
                <w:color w:val="000000"/>
              </w:rPr>
              <w:t>受托人：</w:t>
            </w:r>
          </w:p>
        </w:tc>
        <w:tc>
          <w:tcPr>
            <w:tcW w:w="5670" w:type="dxa"/>
            <w:tcBorders>
              <w:top w:val="nil"/>
              <w:left w:val="nil"/>
              <w:bottom w:val="nil"/>
              <w:right w:val="nil"/>
            </w:tcBorders>
            <w:vAlign w:val="bottom"/>
          </w:tcPr>
          <w:p w14:paraId="1581C191">
            <w:pPr>
              <w:spacing w:line="360" w:lineRule="auto"/>
              <w:rPr>
                <w:rFonts w:eastAsia="楷体_GB2312"/>
                <w:b/>
                <w:color w:val="000000"/>
              </w:rPr>
            </w:pPr>
            <w:r>
              <w:rPr>
                <w:rFonts w:eastAsia="楷体_GB2312"/>
                <w:b/>
                <w:color w:val="000000"/>
              </w:rPr>
              <w:t>【受托机构全称】</w:t>
            </w:r>
          </w:p>
        </w:tc>
      </w:tr>
      <w:tr w14:paraId="04C15E77">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431A8840">
            <w:pPr>
              <w:spacing w:line="360" w:lineRule="auto"/>
              <w:jc w:val="right"/>
              <w:rPr>
                <w:rFonts w:eastAsia="楷体_GB2312"/>
                <w:b/>
                <w:color w:val="000000"/>
              </w:rPr>
            </w:pPr>
            <w:r>
              <w:rPr>
                <w:rFonts w:eastAsia="楷体_GB2312"/>
                <w:b/>
                <w:color w:val="000000"/>
              </w:rPr>
              <w:t>报告日期：</w:t>
            </w:r>
          </w:p>
        </w:tc>
        <w:tc>
          <w:tcPr>
            <w:tcW w:w="5670" w:type="dxa"/>
            <w:tcBorders>
              <w:top w:val="nil"/>
              <w:left w:val="nil"/>
              <w:bottom w:val="nil"/>
              <w:right w:val="nil"/>
            </w:tcBorders>
            <w:vAlign w:val="bottom"/>
          </w:tcPr>
          <w:p w14:paraId="6BE9D5F1">
            <w:pPr>
              <w:spacing w:line="360" w:lineRule="auto"/>
              <w:rPr>
                <w:rFonts w:eastAsia="楷体_GB2312"/>
                <w:b/>
                <w:color w:val="000000"/>
              </w:rPr>
            </w:pPr>
            <w:r>
              <w:rPr>
                <w:rFonts w:eastAsia="楷体_GB2312"/>
                <w:b/>
                <w:color w:val="000000"/>
              </w:rPr>
              <w:t>20XX年XX月XX日</w:t>
            </w:r>
          </w:p>
        </w:tc>
      </w:tr>
      <w:tr w14:paraId="109375FB">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9519B87">
            <w:pPr>
              <w:spacing w:line="360" w:lineRule="auto"/>
              <w:jc w:val="right"/>
              <w:rPr>
                <w:rFonts w:eastAsia="楷体_GB2312"/>
                <w:b/>
                <w:color w:val="000000"/>
              </w:rPr>
            </w:pPr>
          </w:p>
        </w:tc>
        <w:tc>
          <w:tcPr>
            <w:tcW w:w="5670" w:type="dxa"/>
            <w:tcBorders>
              <w:top w:val="nil"/>
              <w:left w:val="nil"/>
              <w:bottom w:val="nil"/>
              <w:right w:val="nil"/>
            </w:tcBorders>
            <w:vAlign w:val="bottom"/>
          </w:tcPr>
          <w:p w14:paraId="1AC84889">
            <w:pPr>
              <w:spacing w:line="360" w:lineRule="auto"/>
              <w:rPr>
                <w:rFonts w:eastAsia="楷体_GB2312"/>
                <w:b/>
                <w:color w:val="000000"/>
              </w:rPr>
            </w:pPr>
          </w:p>
        </w:tc>
      </w:tr>
      <w:tr w14:paraId="480AB686">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421D93B">
            <w:pPr>
              <w:spacing w:line="360" w:lineRule="auto"/>
              <w:jc w:val="right"/>
              <w:rPr>
                <w:rFonts w:eastAsia="楷体_GB2312"/>
                <w:b/>
                <w:color w:val="000000"/>
              </w:rPr>
            </w:pPr>
          </w:p>
        </w:tc>
        <w:tc>
          <w:tcPr>
            <w:tcW w:w="5670" w:type="dxa"/>
            <w:tcBorders>
              <w:top w:val="nil"/>
              <w:left w:val="nil"/>
              <w:bottom w:val="nil"/>
              <w:right w:val="nil"/>
            </w:tcBorders>
            <w:vAlign w:val="bottom"/>
          </w:tcPr>
          <w:p w14:paraId="21976502">
            <w:pPr>
              <w:spacing w:line="360" w:lineRule="auto"/>
              <w:rPr>
                <w:rFonts w:eastAsia="楷体_GB2312"/>
                <w:b/>
                <w:color w:val="000000"/>
              </w:rPr>
            </w:pPr>
          </w:p>
        </w:tc>
      </w:tr>
      <w:tr w14:paraId="00D99004">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E090061">
            <w:pPr>
              <w:spacing w:line="360" w:lineRule="auto"/>
              <w:jc w:val="right"/>
              <w:rPr>
                <w:rFonts w:eastAsia="楷体_GB2312"/>
                <w:b/>
                <w:color w:val="000000"/>
              </w:rPr>
            </w:pPr>
            <w:r>
              <w:rPr>
                <w:rFonts w:eastAsia="楷体_GB2312"/>
                <w:b/>
                <w:color w:val="000000"/>
              </w:rPr>
              <w:t>受托人地址：</w:t>
            </w:r>
          </w:p>
        </w:tc>
        <w:tc>
          <w:tcPr>
            <w:tcW w:w="5670" w:type="dxa"/>
            <w:tcBorders>
              <w:top w:val="nil"/>
              <w:left w:val="nil"/>
              <w:bottom w:val="nil"/>
              <w:right w:val="nil"/>
            </w:tcBorders>
            <w:vAlign w:val="bottom"/>
          </w:tcPr>
          <w:p w14:paraId="1A6070F1">
            <w:pPr>
              <w:spacing w:line="360" w:lineRule="auto"/>
              <w:rPr>
                <w:rFonts w:eastAsia="楷体_GB2312"/>
                <w:color w:val="000000"/>
              </w:rPr>
            </w:pPr>
          </w:p>
        </w:tc>
      </w:tr>
      <w:tr w14:paraId="079DECC2">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3576A15A">
            <w:pPr>
              <w:spacing w:line="360" w:lineRule="auto"/>
              <w:jc w:val="right"/>
              <w:rPr>
                <w:rFonts w:eastAsia="楷体_GB2312"/>
                <w:b/>
                <w:color w:val="000000"/>
              </w:rPr>
            </w:pPr>
            <w:r>
              <w:rPr>
                <w:rFonts w:eastAsia="楷体_GB2312"/>
                <w:b/>
                <w:color w:val="000000"/>
              </w:rPr>
              <w:t>电话：</w:t>
            </w:r>
          </w:p>
        </w:tc>
        <w:tc>
          <w:tcPr>
            <w:tcW w:w="5670" w:type="dxa"/>
            <w:tcBorders>
              <w:top w:val="nil"/>
              <w:left w:val="nil"/>
              <w:bottom w:val="nil"/>
              <w:right w:val="nil"/>
            </w:tcBorders>
            <w:vAlign w:val="bottom"/>
          </w:tcPr>
          <w:p w14:paraId="2318C081">
            <w:pPr>
              <w:spacing w:line="360" w:lineRule="auto"/>
              <w:rPr>
                <w:rFonts w:eastAsia="楷体_GB2312"/>
                <w:b/>
                <w:color w:val="000000"/>
              </w:rPr>
            </w:pPr>
          </w:p>
        </w:tc>
      </w:tr>
      <w:tr w14:paraId="375B5FD8">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090846D">
            <w:pPr>
              <w:spacing w:line="360" w:lineRule="auto"/>
              <w:jc w:val="right"/>
              <w:rPr>
                <w:rFonts w:eastAsia="楷体_GB2312"/>
                <w:b/>
                <w:color w:val="000000"/>
              </w:rPr>
            </w:pPr>
            <w:r>
              <w:rPr>
                <w:rFonts w:eastAsia="楷体_GB2312"/>
                <w:b/>
                <w:color w:val="000000"/>
              </w:rPr>
              <w:t>传真：</w:t>
            </w:r>
          </w:p>
        </w:tc>
        <w:tc>
          <w:tcPr>
            <w:tcW w:w="5670" w:type="dxa"/>
            <w:tcBorders>
              <w:top w:val="nil"/>
              <w:left w:val="nil"/>
              <w:bottom w:val="nil"/>
              <w:right w:val="nil"/>
            </w:tcBorders>
            <w:vAlign w:val="bottom"/>
          </w:tcPr>
          <w:p w14:paraId="53351B0B">
            <w:pPr>
              <w:spacing w:line="360" w:lineRule="auto"/>
              <w:rPr>
                <w:rFonts w:eastAsia="楷体_GB2312"/>
                <w:b/>
                <w:color w:val="000000"/>
              </w:rPr>
            </w:pPr>
          </w:p>
        </w:tc>
      </w:tr>
      <w:tr w14:paraId="2F9A13C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778BC0F">
            <w:pPr>
              <w:spacing w:line="360" w:lineRule="auto"/>
              <w:jc w:val="right"/>
              <w:rPr>
                <w:rFonts w:eastAsia="楷体_GB2312"/>
                <w:b/>
                <w:color w:val="000000"/>
              </w:rPr>
            </w:pPr>
            <w:r>
              <w:rPr>
                <w:rFonts w:eastAsia="楷体_GB2312"/>
                <w:b/>
                <w:color w:val="000000"/>
              </w:rPr>
              <w:t>公司网址：</w:t>
            </w:r>
          </w:p>
        </w:tc>
        <w:tc>
          <w:tcPr>
            <w:tcW w:w="5670" w:type="dxa"/>
            <w:tcBorders>
              <w:top w:val="nil"/>
              <w:left w:val="nil"/>
              <w:bottom w:val="nil"/>
              <w:right w:val="nil"/>
            </w:tcBorders>
            <w:vAlign w:val="bottom"/>
          </w:tcPr>
          <w:p w14:paraId="7DD35613">
            <w:pPr>
              <w:spacing w:line="360" w:lineRule="auto"/>
              <w:rPr>
                <w:rFonts w:eastAsia="楷体_GB2312"/>
                <w:b/>
                <w:color w:val="000000"/>
              </w:rPr>
            </w:pPr>
          </w:p>
        </w:tc>
      </w:tr>
      <w:tr w14:paraId="52A66818">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4F6BE3F">
            <w:pPr>
              <w:spacing w:line="360" w:lineRule="auto"/>
              <w:jc w:val="right"/>
              <w:rPr>
                <w:rFonts w:eastAsia="楷体_GB2312"/>
                <w:b/>
                <w:color w:val="000000"/>
              </w:rPr>
            </w:pPr>
            <w:r>
              <w:rPr>
                <w:rFonts w:eastAsia="楷体_GB2312"/>
                <w:b/>
                <w:color w:val="000000"/>
              </w:rPr>
              <w:t>电子邮件：</w:t>
            </w:r>
          </w:p>
        </w:tc>
        <w:tc>
          <w:tcPr>
            <w:tcW w:w="5670" w:type="dxa"/>
            <w:tcBorders>
              <w:top w:val="nil"/>
              <w:left w:val="nil"/>
              <w:bottom w:val="nil"/>
              <w:right w:val="nil"/>
            </w:tcBorders>
            <w:vAlign w:val="bottom"/>
          </w:tcPr>
          <w:p w14:paraId="48ED4CC1">
            <w:pPr>
              <w:spacing w:line="360" w:lineRule="auto"/>
              <w:rPr>
                <w:rFonts w:eastAsia="楷体_GB2312"/>
                <w:b/>
                <w:color w:val="000000"/>
              </w:rPr>
            </w:pPr>
          </w:p>
        </w:tc>
      </w:tr>
    </w:tbl>
    <w:p w14:paraId="54F454B5">
      <w:pPr>
        <w:spacing w:line="360" w:lineRule="auto"/>
        <w:rPr>
          <w:rFonts w:eastAsia="楷体_GB2312"/>
          <w:color w:val="000000"/>
          <w:sz w:val="32"/>
        </w:rPr>
      </w:pPr>
    </w:p>
    <w:bookmarkEnd w:id="1812"/>
    <w:bookmarkEnd w:id="1813"/>
    <w:p w14:paraId="3C62847D">
      <w:pPr>
        <w:rPr>
          <w:rFonts w:eastAsia="楷体_GB2312"/>
        </w:rPr>
      </w:pPr>
      <w:r>
        <w:rPr>
          <w:rFonts w:eastAsia="楷体_GB2312"/>
        </w:rPr>
        <w:br w:type="page"/>
      </w:r>
    </w:p>
    <w:tbl>
      <w:tblPr>
        <w:tblStyle w:val="28"/>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30"/>
        <w:gridCol w:w="1106"/>
        <w:gridCol w:w="4859"/>
      </w:tblGrid>
      <w:tr w14:paraId="43986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2A8175FF">
            <w:pPr>
              <w:spacing w:line="360" w:lineRule="auto"/>
              <w:jc w:val="center"/>
              <w:rPr>
                <w:rFonts w:eastAsia="楷体_GB2312"/>
                <w:b/>
                <w:color w:val="000000"/>
                <w:sz w:val="28"/>
              </w:rPr>
            </w:pPr>
            <w:r>
              <w:rPr>
                <w:rFonts w:eastAsia="楷体_GB2312"/>
                <w:b/>
                <w:color w:val="000000"/>
                <w:sz w:val="28"/>
              </w:rPr>
              <w:t>信托名称重大事件报告书</w:t>
            </w:r>
          </w:p>
        </w:tc>
      </w:tr>
      <w:tr w14:paraId="32E9D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9ED4239">
            <w:pPr>
              <w:spacing w:line="360" w:lineRule="auto"/>
              <w:jc w:val="left"/>
              <w:rPr>
                <w:rFonts w:eastAsia="楷体_GB2312"/>
                <w:b/>
                <w:color w:val="000000"/>
              </w:rPr>
            </w:pPr>
            <w:r>
              <w:rPr>
                <w:rFonts w:eastAsia="楷体_GB2312"/>
                <w:b/>
                <w:color w:val="000000"/>
              </w:rPr>
              <w:t>事项</w:t>
            </w:r>
          </w:p>
        </w:tc>
        <w:tc>
          <w:tcPr>
            <w:tcW w:w="1106" w:type="dxa"/>
            <w:tcBorders>
              <w:top w:val="single" w:color="auto" w:sz="4" w:space="0"/>
              <w:left w:val="single" w:color="auto" w:sz="4" w:space="0"/>
              <w:bottom w:val="single" w:color="auto" w:sz="4" w:space="0"/>
              <w:right w:val="single" w:color="auto" w:sz="4" w:space="0"/>
            </w:tcBorders>
          </w:tcPr>
          <w:p w14:paraId="2E1265BE">
            <w:pPr>
              <w:spacing w:line="360" w:lineRule="auto"/>
              <w:jc w:val="center"/>
              <w:rPr>
                <w:rFonts w:eastAsia="楷体_GB2312"/>
                <w:b/>
                <w:color w:val="000000"/>
              </w:rPr>
            </w:pPr>
            <w:r>
              <w:rPr>
                <w:rFonts w:eastAsia="楷体_GB2312"/>
                <w:b/>
                <w:color w:val="000000"/>
              </w:rPr>
              <w:t>是否发生</w:t>
            </w:r>
          </w:p>
        </w:tc>
        <w:tc>
          <w:tcPr>
            <w:tcW w:w="4859" w:type="dxa"/>
            <w:tcBorders>
              <w:top w:val="single" w:color="auto" w:sz="4" w:space="0"/>
              <w:left w:val="single" w:color="auto" w:sz="4" w:space="0"/>
              <w:bottom w:val="single" w:color="auto" w:sz="4" w:space="0"/>
            </w:tcBorders>
          </w:tcPr>
          <w:p w14:paraId="12D5E61E">
            <w:pPr>
              <w:spacing w:line="360" w:lineRule="auto"/>
              <w:jc w:val="center"/>
              <w:rPr>
                <w:rFonts w:eastAsia="楷体_GB2312"/>
                <w:b/>
                <w:color w:val="000000"/>
              </w:rPr>
            </w:pPr>
            <w:r>
              <w:rPr>
                <w:rFonts w:eastAsia="楷体_GB2312"/>
                <w:b/>
                <w:color w:val="000000"/>
              </w:rPr>
              <w:t>备注</w:t>
            </w:r>
          </w:p>
        </w:tc>
      </w:tr>
      <w:tr w14:paraId="6EF412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06887CD">
            <w:pPr>
              <w:pStyle w:val="144"/>
              <w:numPr>
                <w:ilvl w:val="0"/>
                <w:numId w:val="49"/>
              </w:numPr>
              <w:spacing w:line="360" w:lineRule="auto"/>
              <w:ind w:firstLineChars="0"/>
              <w:rPr>
                <w:rFonts w:eastAsia="楷体_GB2312"/>
                <w:color w:val="000000"/>
                <w:sz w:val="20"/>
              </w:rPr>
            </w:pPr>
            <w:r>
              <w:rPr>
                <w:rFonts w:hint="eastAsia" w:eastAsia="楷体_GB2312"/>
                <w:color w:val="000000"/>
                <w:sz w:val="20"/>
              </w:rPr>
              <w:t>加速清偿事件（如有）</w:t>
            </w:r>
          </w:p>
        </w:tc>
        <w:tc>
          <w:tcPr>
            <w:tcW w:w="1106" w:type="dxa"/>
            <w:tcBorders>
              <w:top w:val="single" w:color="auto" w:sz="4" w:space="0"/>
              <w:left w:val="single" w:color="auto" w:sz="4" w:space="0"/>
              <w:bottom w:val="single" w:color="auto" w:sz="4" w:space="0"/>
              <w:right w:val="single" w:color="auto" w:sz="4" w:space="0"/>
            </w:tcBorders>
          </w:tcPr>
          <w:p w14:paraId="552E966B">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774D63A1">
            <w:pPr>
              <w:spacing w:line="360" w:lineRule="auto"/>
              <w:jc w:val="center"/>
              <w:rPr>
                <w:rFonts w:eastAsia="楷体_GB2312"/>
                <w:color w:val="000000"/>
                <w:sz w:val="18"/>
              </w:rPr>
            </w:pPr>
          </w:p>
        </w:tc>
      </w:tr>
      <w:tr w14:paraId="0DDF10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47FFB96">
            <w:pPr>
              <w:pStyle w:val="144"/>
              <w:numPr>
                <w:ilvl w:val="0"/>
                <w:numId w:val="49"/>
              </w:numPr>
              <w:spacing w:line="360" w:lineRule="auto"/>
              <w:ind w:firstLineChars="0"/>
              <w:rPr>
                <w:rFonts w:eastAsia="楷体_GB2312"/>
                <w:color w:val="000000"/>
                <w:sz w:val="20"/>
              </w:rPr>
            </w:pPr>
            <w:r>
              <w:rPr>
                <w:rFonts w:eastAsia="楷体_GB2312"/>
                <w:color w:val="000000"/>
                <w:sz w:val="20"/>
              </w:rPr>
              <w:t>违约事件</w:t>
            </w:r>
          </w:p>
        </w:tc>
        <w:tc>
          <w:tcPr>
            <w:tcW w:w="1106" w:type="dxa"/>
            <w:tcBorders>
              <w:top w:val="single" w:color="auto" w:sz="4" w:space="0"/>
              <w:left w:val="single" w:color="auto" w:sz="4" w:space="0"/>
              <w:bottom w:val="single" w:color="auto" w:sz="4" w:space="0"/>
              <w:right w:val="single" w:color="auto" w:sz="4" w:space="0"/>
            </w:tcBorders>
          </w:tcPr>
          <w:p w14:paraId="5CE36702">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AF39670">
            <w:pPr>
              <w:spacing w:line="360" w:lineRule="auto"/>
              <w:jc w:val="center"/>
              <w:rPr>
                <w:rFonts w:eastAsia="楷体_GB2312"/>
                <w:color w:val="000000"/>
                <w:sz w:val="18"/>
              </w:rPr>
            </w:pPr>
          </w:p>
        </w:tc>
      </w:tr>
      <w:tr w14:paraId="534531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199C79D">
            <w:pPr>
              <w:pStyle w:val="144"/>
              <w:numPr>
                <w:ilvl w:val="0"/>
                <w:numId w:val="49"/>
              </w:numPr>
              <w:spacing w:line="360" w:lineRule="auto"/>
              <w:ind w:left="0" w:firstLine="0" w:firstLineChars="0"/>
              <w:rPr>
                <w:rFonts w:eastAsia="楷体_GB2312"/>
                <w:color w:val="000000"/>
                <w:sz w:val="20"/>
              </w:rPr>
            </w:pPr>
            <w:r>
              <w:rPr>
                <w:rFonts w:eastAsia="楷体_GB2312"/>
                <w:color w:val="000000"/>
                <w:sz w:val="20"/>
              </w:rPr>
              <w:t>权利完善事件</w:t>
            </w:r>
            <w:r>
              <w:rPr>
                <w:rFonts w:hint="eastAsia" w:eastAsia="楷体_GB2312"/>
                <w:color w:val="000000"/>
                <w:sz w:val="20"/>
              </w:rPr>
              <w:t>/</w:t>
            </w:r>
            <w:r>
              <w:rPr>
                <w:rFonts w:eastAsia="楷体_GB2312"/>
                <w:color w:val="000000"/>
                <w:sz w:val="20"/>
              </w:rPr>
              <w:t>个别通知事件</w:t>
            </w:r>
          </w:p>
        </w:tc>
        <w:tc>
          <w:tcPr>
            <w:tcW w:w="1106" w:type="dxa"/>
            <w:tcBorders>
              <w:top w:val="single" w:color="auto" w:sz="4" w:space="0"/>
              <w:left w:val="single" w:color="auto" w:sz="4" w:space="0"/>
              <w:bottom w:val="single" w:color="auto" w:sz="4" w:space="0"/>
              <w:right w:val="single" w:color="auto" w:sz="4" w:space="0"/>
            </w:tcBorders>
          </w:tcPr>
          <w:p w14:paraId="438BB89D">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62362C0F">
            <w:pPr>
              <w:spacing w:line="360" w:lineRule="auto"/>
              <w:jc w:val="center"/>
              <w:rPr>
                <w:rFonts w:eastAsia="楷体_GB2312"/>
                <w:color w:val="000000"/>
                <w:sz w:val="18"/>
              </w:rPr>
            </w:pPr>
          </w:p>
        </w:tc>
      </w:tr>
      <w:tr w14:paraId="5A2B8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830" w:type="dxa"/>
            <w:tcBorders>
              <w:top w:val="single" w:color="auto" w:sz="4" w:space="0"/>
              <w:bottom w:val="single" w:color="auto" w:sz="4" w:space="0"/>
              <w:right w:val="single" w:color="auto" w:sz="4" w:space="0"/>
            </w:tcBorders>
          </w:tcPr>
          <w:p w14:paraId="26D83BB6">
            <w:pPr>
              <w:pStyle w:val="144"/>
              <w:numPr>
                <w:ilvl w:val="0"/>
                <w:numId w:val="49"/>
              </w:numPr>
              <w:spacing w:line="360" w:lineRule="auto"/>
              <w:ind w:firstLineChars="0"/>
              <w:rPr>
                <w:rFonts w:eastAsia="楷体_GB2312"/>
                <w:color w:val="000000"/>
                <w:sz w:val="20"/>
              </w:rPr>
            </w:pPr>
            <w:r>
              <w:rPr>
                <w:rFonts w:eastAsia="楷体_GB2312"/>
                <w:color w:val="000000"/>
                <w:sz w:val="20"/>
              </w:rPr>
              <w:t>赎回</w:t>
            </w:r>
          </w:p>
        </w:tc>
        <w:tc>
          <w:tcPr>
            <w:tcW w:w="1106" w:type="dxa"/>
            <w:tcBorders>
              <w:top w:val="single" w:color="auto" w:sz="4" w:space="0"/>
              <w:left w:val="single" w:color="auto" w:sz="4" w:space="0"/>
              <w:bottom w:val="single" w:color="auto" w:sz="4" w:space="0"/>
              <w:right w:val="single" w:color="auto" w:sz="4" w:space="0"/>
            </w:tcBorders>
          </w:tcPr>
          <w:p w14:paraId="507775EE">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1F409E0">
            <w:pPr>
              <w:spacing w:line="360" w:lineRule="auto"/>
              <w:jc w:val="center"/>
              <w:rPr>
                <w:rFonts w:eastAsia="楷体_GB2312"/>
                <w:color w:val="000000"/>
                <w:sz w:val="18"/>
              </w:rPr>
            </w:pPr>
          </w:p>
        </w:tc>
      </w:tr>
      <w:tr w14:paraId="17DD5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5290CAA9">
            <w:pPr>
              <w:pStyle w:val="144"/>
              <w:numPr>
                <w:ilvl w:val="0"/>
                <w:numId w:val="49"/>
              </w:numPr>
              <w:spacing w:line="360" w:lineRule="auto"/>
              <w:ind w:firstLineChars="0"/>
              <w:rPr>
                <w:rFonts w:eastAsia="楷体_GB2312"/>
                <w:color w:val="000000"/>
                <w:sz w:val="20"/>
              </w:rPr>
            </w:pPr>
            <w:r>
              <w:rPr>
                <w:rFonts w:eastAsia="楷体_GB2312"/>
                <w:color w:val="000000"/>
                <w:sz w:val="20"/>
              </w:rPr>
              <w:t>清仓回购</w:t>
            </w:r>
          </w:p>
        </w:tc>
        <w:tc>
          <w:tcPr>
            <w:tcW w:w="1106" w:type="dxa"/>
            <w:tcBorders>
              <w:top w:val="single" w:color="auto" w:sz="4" w:space="0"/>
              <w:left w:val="single" w:color="auto" w:sz="4" w:space="0"/>
              <w:bottom w:val="single" w:color="auto" w:sz="4" w:space="0"/>
              <w:right w:val="single" w:color="auto" w:sz="4" w:space="0"/>
            </w:tcBorders>
          </w:tcPr>
          <w:p w14:paraId="17BB9A7A">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321EF13">
            <w:pPr>
              <w:spacing w:line="360" w:lineRule="auto"/>
              <w:jc w:val="center"/>
              <w:rPr>
                <w:rFonts w:eastAsia="楷体_GB2312"/>
                <w:color w:val="000000"/>
                <w:sz w:val="18"/>
              </w:rPr>
            </w:pPr>
          </w:p>
        </w:tc>
      </w:tr>
      <w:tr w14:paraId="39D95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1E8E630">
            <w:pPr>
              <w:pStyle w:val="144"/>
              <w:numPr>
                <w:ilvl w:val="0"/>
                <w:numId w:val="49"/>
              </w:numPr>
              <w:spacing w:line="360" w:lineRule="auto"/>
              <w:ind w:firstLineChars="0"/>
              <w:rPr>
                <w:rFonts w:eastAsia="楷体_GB2312"/>
                <w:color w:val="000000"/>
                <w:sz w:val="20"/>
              </w:rPr>
            </w:pPr>
            <w:r>
              <w:rPr>
                <w:rFonts w:eastAsia="楷体_GB2312"/>
                <w:color w:val="000000"/>
                <w:sz w:val="20"/>
              </w:rPr>
              <w:t>丧失清偿能力事件</w:t>
            </w:r>
          </w:p>
        </w:tc>
        <w:tc>
          <w:tcPr>
            <w:tcW w:w="1106" w:type="dxa"/>
            <w:tcBorders>
              <w:top w:val="single" w:color="auto" w:sz="4" w:space="0"/>
              <w:left w:val="single" w:color="auto" w:sz="4" w:space="0"/>
              <w:bottom w:val="single" w:color="auto" w:sz="4" w:space="0"/>
              <w:right w:val="single" w:color="auto" w:sz="4" w:space="0"/>
            </w:tcBorders>
          </w:tcPr>
          <w:p w14:paraId="7ED39407">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5E2D385">
            <w:pPr>
              <w:spacing w:line="360" w:lineRule="auto"/>
              <w:jc w:val="center"/>
              <w:rPr>
                <w:rFonts w:eastAsia="楷体_GB2312"/>
                <w:color w:val="000000"/>
                <w:sz w:val="18"/>
              </w:rPr>
            </w:pPr>
          </w:p>
        </w:tc>
      </w:tr>
      <w:tr w14:paraId="093D2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2B5C3CB">
            <w:pPr>
              <w:pStyle w:val="144"/>
              <w:numPr>
                <w:ilvl w:val="0"/>
                <w:numId w:val="49"/>
              </w:numPr>
              <w:spacing w:line="360" w:lineRule="auto"/>
              <w:ind w:firstLineChars="0"/>
              <w:rPr>
                <w:rFonts w:eastAsia="楷体_GB2312"/>
                <w:color w:val="000000"/>
                <w:sz w:val="20"/>
              </w:rPr>
            </w:pPr>
            <w:r>
              <w:rPr>
                <w:rFonts w:eastAsia="楷体_GB2312"/>
                <w:color w:val="000000"/>
                <w:sz w:val="20"/>
              </w:rPr>
              <w:t>受托机构终止事件</w:t>
            </w:r>
          </w:p>
        </w:tc>
        <w:tc>
          <w:tcPr>
            <w:tcW w:w="1106" w:type="dxa"/>
            <w:tcBorders>
              <w:top w:val="single" w:color="auto" w:sz="4" w:space="0"/>
              <w:left w:val="single" w:color="auto" w:sz="4" w:space="0"/>
              <w:bottom w:val="single" w:color="auto" w:sz="4" w:space="0"/>
              <w:right w:val="single" w:color="auto" w:sz="4" w:space="0"/>
            </w:tcBorders>
          </w:tcPr>
          <w:p w14:paraId="72251ED5">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51CB44A">
            <w:pPr>
              <w:spacing w:line="360" w:lineRule="auto"/>
              <w:jc w:val="center"/>
              <w:rPr>
                <w:rFonts w:eastAsia="楷体_GB2312"/>
                <w:color w:val="000000"/>
                <w:sz w:val="18"/>
              </w:rPr>
            </w:pPr>
          </w:p>
        </w:tc>
      </w:tr>
      <w:tr w14:paraId="47093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09CF609E">
            <w:pPr>
              <w:pStyle w:val="144"/>
              <w:numPr>
                <w:ilvl w:val="0"/>
                <w:numId w:val="49"/>
              </w:numPr>
              <w:spacing w:line="360" w:lineRule="auto"/>
              <w:ind w:firstLineChars="0"/>
              <w:rPr>
                <w:rFonts w:eastAsia="楷体_GB2312"/>
                <w:color w:val="000000"/>
                <w:sz w:val="20"/>
              </w:rPr>
            </w:pPr>
            <w:r>
              <w:rPr>
                <w:rFonts w:eastAsia="楷体_GB2312"/>
                <w:color w:val="000000"/>
                <w:sz w:val="20"/>
              </w:rPr>
              <w:t>重大不利变化</w:t>
            </w:r>
          </w:p>
        </w:tc>
        <w:tc>
          <w:tcPr>
            <w:tcW w:w="1106" w:type="dxa"/>
            <w:tcBorders>
              <w:top w:val="single" w:color="auto" w:sz="4" w:space="0"/>
              <w:left w:val="single" w:color="auto" w:sz="4" w:space="0"/>
              <w:bottom w:val="single" w:color="auto" w:sz="4" w:space="0"/>
              <w:right w:val="single" w:color="auto" w:sz="4" w:space="0"/>
            </w:tcBorders>
          </w:tcPr>
          <w:p w14:paraId="73BA3C3A">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AA56B11">
            <w:pPr>
              <w:spacing w:line="360" w:lineRule="auto"/>
              <w:jc w:val="center"/>
              <w:rPr>
                <w:rFonts w:eastAsia="楷体_GB2312"/>
                <w:color w:val="000000"/>
                <w:sz w:val="18"/>
              </w:rPr>
            </w:pPr>
          </w:p>
        </w:tc>
      </w:tr>
      <w:tr w14:paraId="3312D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47A41367">
            <w:pPr>
              <w:pStyle w:val="144"/>
              <w:numPr>
                <w:ilvl w:val="0"/>
                <w:numId w:val="49"/>
              </w:numPr>
              <w:spacing w:line="360" w:lineRule="auto"/>
              <w:ind w:firstLineChars="0"/>
              <w:rPr>
                <w:rFonts w:eastAsia="楷体_GB2312"/>
                <w:color w:val="000000"/>
                <w:sz w:val="20"/>
              </w:rPr>
            </w:pPr>
            <w:r>
              <w:rPr>
                <w:rFonts w:eastAsia="楷体_GB2312"/>
                <w:color w:val="000000"/>
                <w:sz w:val="20"/>
              </w:rPr>
              <w:t>重大不利影响</w:t>
            </w:r>
          </w:p>
        </w:tc>
        <w:tc>
          <w:tcPr>
            <w:tcW w:w="1106" w:type="dxa"/>
            <w:tcBorders>
              <w:top w:val="single" w:color="auto" w:sz="4" w:space="0"/>
              <w:left w:val="single" w:color="auto" w:sz="4" w:space="0"/>
              <w:bottom w:val="single" w:color="auto" w:sz="4" w:space="0"/>
              <w:right w:val="single" w:color="auto" w:sz="4" w:space="0"/>
            </w:tcBorders>
          </w:tcPr>
          <w:p w14:paraId="7C893CB1">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37EA502E">
            <w:pPr>
              <w:spacing w:line="360" w:lineRule="auto"/>
              <w:jc w:val="center"/>
              <w:rPr>
                <w:rFonts w:eastAsia="楷体_GB2312"/>
                <w:color w:val="000000"/>
                <w:sz w:val="18"/>
              </w:rPr>
            </w:pPr>
          </w:p>
        </w:tc>
      </w:tr>
      <w:tr w14:paraId="462FD8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470BE8C">
            <w:pPr>
              <w:pStyle w:val="144"/>
              <w:numPr>
                <w:ilvl w:val="0"/>
                <w:numId w:val="49"/>
              </w:numPr>
              <w:spacing w:line="360" w:lineRule="auto"/>
              <w:ind w:firstLineChars="0"/>
              <w:rPr>
                <w:rFonts w:eastAsia="楷体_GB2312"/>
                <w:color w:val="000000"/>
                <w:sz w:val="20"/>
              </w:rPr>
            </w:pPr>
            <w:r>
              <w:rPr>
                <w:rFonts w:eastAsia="楷体_GB2312"/>
                <w:color w:val="000000"/>
                <w:sz w:val="20"/>
              </w:rPr>
              <w:t>受托人解任事件</w:t>
            </w:r>
          </w:p>
        </w:tc>
        <w:tc>
          <w:tcPr>
            <w:tcW w:w="1106" w:type="dxa"/>
            <w:tcBorders>
              <w:top w:val="single" w:color="auto" w:sz="4" w:space="0"/>
              <w:left w:val="single" w:color="auto" w:sz="4" w:space="0"/>
              <w:bottom w:val="single" w:color="auto" w:sz="4" w:space="0"/>
              <w:right w:val="single" w:color="auto" w:sz="4" w:space="0"/>
            </w:tcBorders>
          </w:tcPr>
          <w:p w14:paraId="244AE9D6">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68F97CA6">
            <w:pPr>
              <w:spacing w:line="360" w:lineRule="auto"/>
              <w:jc w:val="center"/>
              <w:rPr>
                <w:rFonts w:eastAsia="楷体_GB2312"/>
                <w:color w:val="000000"/>
                <w:sz w:val="18"/>
              </w:rPr>
            </w:pPr>
          </w:p>
        </w:tc>
      </w:tr>
      <w:tr w14:paraId="3298B5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4860BF2">
            <w:pPr>
              <w:pStyle w:val="144"/>
              <w:numPr>
                <w:ilvl w:val="0"/>
                <w:numId w:val="49"/>
              </w:numPr>
              <w:spacing w:line="360" w:lineRule="auto"/>
              <w:ind w:firstLineChars="0"/>
              <w:rPr>
                <w:rFonts w:eastAsia="楷体_GB2312"/>
                <w:color w:val="000000"/>
                <w:sz w:val="20"/>
              </w:rPr>
            </w:pPr>
            <w:r>
              <w:rPr>
                <w:rFonts w:eastAsia="楷体_GB2312"/>
                <w:color w:val="000000"/>
                <w:sz w:val="20"/>
              </w:rPr>
              <w:t>贷款服务机构解任事件</w:t>
            </w:r>
          </w:p>
        </w:tc>
        <w:tc>
          <w:tcPr>
            <w:tcW w:w="1106" w:type="dxa"/>
            <w:tcBorders>
              <w:top w:val="single" w:color="auto" w:sz="4" w:space="0"/>
              <w:left w:val="single" w:color="auto" w:sz="4" w:space="0"/>
              <w:bottom w:val="single" w:color="auto" w:sz="4" w:space="0"/>
              <w:right w:val="single" w:color="auto" w:sz="4" w:space="0"/>
            </w:tcBorders>
          </w:tcPr>
          <w:p w14:paraId="15852094">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2F3F8331">
            <w:pPr>
              <w:spacing w:line="360" w:lineRule="auto"/>
              <w:jc w:val="center"/>
              <w:rPr>
                <w:rFonts w:eastAsia="楷体_GB2312"/>
                <w:color w:val="000000"/>
                <w:sz w:val="18"/>
              </w:rPr>
            </w:pPr>
          </w:p>
        </w:tc>
      </w:tr>
      <w:tr w14:paraId="2E96E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27848DB6">
            <w:pPr>
              <w:pStyle w:val="144"/>
              <w:numPr>
                <w:ilvl w:val="0"/>
                <w:numId w:val="49"/>
              </w:numPr>
              <w:spacing w:line="360" w:lineRule="auto"/>
              <w:ind w:firstLineChars="0"/>
              <w:rPr>
                <w:rFonts w:eastAsia="楷体_GB2312"/>
                <w:color w:val="000000"/>
                <w:sz w:val="20"/>
              </w:rPr>
            </w:pPr>
            <w:r>
              <w:rPr>
                <w:rFonts w:eastAsia="楷体_GB2312"/>
                <w:color w:val="000000"/>
                <w:sz w:val="20"/>
              </w:rPr>
              <w:t>资金保管机构解任事件</w:t>
            </w:r>
          </w:p>
        </w:tc>
        <w:tc>
          <w:tcPr>
            <w:tcW w:w="1106" w:type="dxa"/>
            <w:tcBorders>
              <w:top w:val="single" w:color="auto" w:sz="4" w:space="0"/>
              <w:left w:val="single" w:color="auto" w:sz="4" w:space="0"/>
              <w:bottom w:val="single" w:color="auto" w:sz="4" w:space="0"/>
              <w:right w:val="single" w:color="auto" w:sz="4" w:space="0"/>
            </w:tcBorders>
          </w:tcPr>
          <w:p w14:paraId="233D5716">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0342A3EA">
            <w:pPr>
              <w:spacing w:line="360" w:lineRule="auto"/>
              <w:jc w:val="center"/>
              <w:rPr>
                <w:rFonts w:eastAsia="楷体_GB2312"/>
                <w:color w:val="000000"/>
                <w:sz w:val="18"/>
              </w:rPr>
            </w:pPr>
          </w:p>
        </w:tc>
      </w:tr>
      <w:tr w14:paraId="21CDE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F5A8B51">
            <w:pPr>
              <w:pStyle w:val="144"/>
              <w:numPr>
                <w:ilvl w:val="0"/>
                <w:numId w:val="49"/>
              </w:numPr>
              <w:spacing w:line="360" w:lineRule="auto"/>
              <w:ind w:firstLineChars="0"/>
              <w:rPr>
                <w:rFonts w:eastAsia="楷体_GB2312"/>
                <w:color w:val="000000"/>
                <w:sz w:val="18"/>
              </w:rPr>
            </w:pPr>
            <w:r>
              <w:rPr>
                <w:rFonts w:eastAsia="楷体_GB2312"/>
                <w:color w:val="000000"/>
                <w:sz w:val="20"/>
              </w:rPr>
              <w:t>资产支持证券持有人大会</w:t>
            </w:r>
          </w:p>
        </w:tc>
        <w:tc>
          <w:tcPr>
            <w:tcW w:w="1106" w:type="dxa"/>
            <w:tcBorders>
              <w:top w:val="single" w:color="auto" w:sz="4" w:space="0"/>
              <w:left w:val="single" w:color="auto" w:sz="4" w:space="0"/>
              <w:bottom w:val="single" w:color="auto" w:sz="4" w:space="0"/>
              <w:right w:val="single" w:color="auto" w:sz="4" w:space="0"/>
            </w:tcBorders>
          </w:tcPr>
          <w:p w14:paraId="7F9F907E">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27772B89">
            <w:pPr>
              <w:spacing w:line="360" w:lineRule="auto"/>
              <w:jc w:val="center"/>
              <w:rPr>
                <w:rFonts w:eastAsia="楷体_GB2312"/>
                <w:color w:val="000000"/>
                <w:sz w:val="18"/>
              </w:rPr>
            </w:pPr>
          </w:p>
        </w:tc>
      </w:tr>
      <w:tr w14:paraId="159E0E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7231A96F">
            <w:pPr>
              <w:pStyle w:val="144"/>
              <w:numPr>
                <w:ilvl w:val="0"/>
                <w:numId w:val="49"/>
              </w:numPr>
              <w:spacing w:line="360" w:lineRule="auto"/>
              <w:ind w:firstLineChars="0"/>
              <w:rPr>
                <w:rFonts w:eastAsia="楷体_GB2312"/>
                <w:color w:val="000000"/>
                <w:sz w:val="20"/>
              </w:rPr>
            </w:pPr>
            <w:r>
              <w:rPr>
                <w:rFonts w:hint="eastAsia" w:eastAsia="楷体_GB2312"/>
                <w:color w:val="000000"/>
                <w:sz w:val="20"/>
              </w:rPr>
              <w:t>法定到期日延长</w:t>
            </w:r>
          </w:p>
        </w:tc>
        <w:tc>
          <w:tcPr>
            <w:tcW w:w="1106" w:type="dxa"/>
            <w:tcBorders>
              <w:top w:val="single" w:color="auto" w:sz="4" w:space="0"/>
              <w:left w:val="single" w:color="auto" w:sz="4" w:space="0"/>
              <w:bottom w:val="single" w:color="auto" w:sz="4" w:space="0"/>
              <w:right w:val="single" w:color="auto" w:sz="4" w:space="0"/>
            </w:tcBorders>
          </w:tcPr>
          <w:p w14:paraId="763DFDEF">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343A858">
            <w:pPr>
              <w:spacing w:line="360" w:lineRule="auto"/>
              <w:jc w:val="center"/>
              <w:rPr>
                <w:rFonts w:eastAsia="楷体_GB2312"/>
                <w:color w:val="000000"/>
                <w:sz w:val="18"/>
              </w:rPr>
            </w:pPr>
          </w:p>
        </w:tc>
      </w:tr>
      <w:tr w14:paraId="5FCC5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6BAB090B">
            <w:pPr>
              <w:pStyle w:val="144"/>
              <w:numPr>
                <w:ilvl w:val="0"/>
                <w:numId w:val="49"/>
              </w:numPr>
              <w:spacing w:line="360" w:lineRule="auto"/>
              <w:ind w:firstLineChars="0"/>
              <w:rPr>
                <w:rFonts w:eastAsia="楷体_GB2312"/>
                <w:color w:val="000000"/>
                <w:sz w:val="20"/>
              </w:rPr>
            </w:pPr>
            <w:r>
              <w:rPr>
                <w:rFonts w:hint="eastAsia" w:eastAsia="楷体_GB2312"/>
                <w:color w:val="000000"/>
                <w:sz w:val="20"/>
              </w:rPr>
              <w:t>清算期延长</w:t>
            </w:r>
          </w:p>
        </w:tc>
        <w:tc>
          <w:tcPr>
            <w:tcW w:w="1106" w:type="dxa"/>
            <w:tcBorders>
              <w:top w:val="single" w:color="auto" w:sz="4" w:space="0"/>
              <w:left w:val="single" w:color="auto" w:sz="4" w:space="0"/>
              <w:bottom w:val="single" w:color="auto" w:sz="4" w:space="0"/>
              <w:right w:val="single" w:color="auto" w:sz="4" w:space="0"/>
            </w:tcBorders>
          </w:tcPr>
          <w:p w14:paraId="1B86CFC7">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1DDDC49C">
            <w:pPr>
              <w:spacing w:line="360" w:lineRule="auto"/>
              <w:jc w:val="center"/>
              <w:rPr>
                <w:rFonts w:eastAsia="楷体_GB2312"/>
                <w:color w:val="000000"/>
                <w:sz w:val="18"/>
              </w:rPr>
            </w:pPr>
          </w:p>
        </w:tc>
      </w:tr>
      <w:tr w14:paraId="2153FA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830" w:type="dxa"/>
            <w:tcBorders>
              <w:top w:val="single" w:color="auto" w:sz="4" w:space="0"/>
              <w:bottom w:val="single" w:color="auto" w:sz="4" w:space="0"/>
              <w:right w:val="single" w:color="auto" w:sz="4" w:space="0"/>
            </w:tcBorders>
          </w:tcPr>
          <w:p w14:paraId="3DC46B46">
            <w:pPr>
              <w:pStyle w:val="144"/>
              <w:numPr>
                <w:ilvl w:val="0"/>
                <w:numId w:val="49"/>
              </w:numPr>
              <w:spacing w:line="360" w:lineRule="auto"/>
              <w:ind w:left="0" w:firstLine="0" w:firstLineChars="0"/>
              <w:rPr>
                <w:rFonts w:eastAsia="楷体_GB2312"/>
                <w:color w:val="000000"/>
                <w:sz w:val="18"/>
              </w:rPr>
            </w:pPr>
            <w:r>
              <w:rPr>
                <w:rFonts w:eastAsia="楷体_GB2312"/>
                <w:color w:val="000000"/>
                <w:sz w:val="20"/>
              </w:rPr>
              <w:t>其他影响</w:t>
            </w:r>
            <w:r>
              <w:rPr>
                <w:rFonts w:hint="eastAsia" w:eastAsia="楷体_GB2312"/>
                <w:color w:val="000000"/>
                <w:sz w:val="20"/>
              </w:rPr>
              <w:t>证券</w:t>
            </w:r>
            <w:r>
              <w:rPr>
                <w:rFonts w:eastAsia="楷体_GB2312"/>
                <w:color w:val="000000"/>
                <w:sz w:val="20"/>
              </w:rPr>
              <w:t>本息兑付或投资者利益的事项</w:t>
            </w:r>
            <w:r>
              <w:rPr>
                <w:rFonts w:hint="eastAsia" w:eastAsia="楷体_GB2312"/>
                <w:color w:val="000000"/>
                <w:sz w:val="20"/>
              </w:rPr>
              <w:t>（如负面的催收相关事项）</w:t>
            </w:r>
          </w:p>
        </w:tc>
        <w:tc>
          <w:tcPr>
            <w:tcW w:w="1106" w:type="dxa"/>
            <w:tcBorders>
              <w:top w:val="single" w:color="auto" w:sz="4" w:space="0"/>
              <w:left w:val="single" w:color="auto" w:sz="4" w:space="0"/>
              <w:bottom w:val="single" w:color="auto" w:sz="4" w:space="0"/>
              <w:right w:val="single" w:color="auto" w:sz="4" w:space="0"/>
            </w:tcBorders>
          </w:tcPr>
          <w:p w14:paraId="33543F7C">
            <w:pPr>
              <w:spacing w:line="360" w:lineRule="auto"/>
              <w:jc w:val="center"/>
              <w:rPr>
                <w:rFonts w:eastAsia="楷体_GB2312"/>
                <w:color w:val="000000"/>
                <w:sz w:val="18"/>
              </w:rPr>
            </w:pPr>
          </w:p>
        </w:tc>
        <w:tc>
          <w:tcPr>
            <w:tcW w:w="4859" w:type="dxa"/>
            <w:tcBorders>
              <w:top w:val="single" w:color="auto" w:sz="4" w:space="0"/>
              <w:left w:val="single" w:color="auto" w:sz="4" w:space="0"/>
              <w:bottom w:val="single" w:color="auto" w:sz="4" w:space="0"/>
            </w:tcBorders>
          </w:tcPr>
          <w:p w14:paraId="421456D5">
            <w:pPr>
              <w:spacing w:line="360" w:lineRule="auto"/>
              <w:jc w:val="center"/>
              <w:rPr>
                <w:rFonts w:eastAsia="楷体_GB2312"/>
                <w:color w:val="000000"/>
                <w:sz w:val="18"/>
              </w:rPr>
            </w:pPr>
          </w:p>
        </w:tc>
      </w:tr>
    </w:tbl>
    <w:p w14:paraId="2DC1BBE4">
      <w:pPr>
        <w:spacing w:line="360" w:lineRule="auto"/>
        <w:rPr>
          <w:rFonts w:eastAsia="楷体_GB2312"/>
          <w:b/>
          <w:bCs/>
          <w:i/>
          <w:iCs/>
          <w:color w:val="FF0000"/>
        </w:rPr>
      </w:pPr>
    </w:p>
    <w:p w14:paraId="7C51DA6A">
      <w:pPr>
        <w:spacing w:line="360" w:lineRule="auto"/>
        <w:rPr>
          <w:rFonts w:eastAsia="楷体_GB2312"/>
          <w:b/>
          <w:bCs/>
          <w:i/>
          <w:iCs/>
          <w:color w:val="FF0000"/>
        </w:rPr>
      </w:pPr>
      <w:r>
        <w:rPr>
          <w:rFonts w:eastAsia="楷体_GB2312"/>
          <w:b/>
          <w:bCs/>
          <w:i/>
          <w:iCs/>
          <w:color w:val="FF0000"/>
        </w:rPr>
        <w:t>【注：</w:t>
      </w:r>
      <w:bookmarkStart w:id="1818" w:name="_Hlk227694937"/>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bookmarkEnd w:id="1818"/>
      <w:r>
        <w:rPr>
          <w:rFonts w:eastAsia="楷体_GB2312"/>
          <w:b/>
          <w:bCs/>
          <w:i/>
          <w:iCs/>
          <w:color w:val="FF0000"/>
        </w:rPr>
        <w:t>。】</w:t>
      </w:r>
    </w:p>
    <w:p w14:paraId="6B350460">
      <w:pPr>
        <w:spacing w:line="360" w:lineRule="auto"/>
        <w:rPr>
          <w:rFonts w:eastAsia="楷体_GB2312"/>
        </w:rPr>
      </w:pPr>
    </w:p>
    <w:p w14:paraId="6BF5B80E">
      <w:pPr>
        <w:spacing w:line="360" w:lineRule="auto"/>
        <w:rPr>
          <w:rFonts w:eastAsia="楷体_GB2312"/>
          <w:color w:val="000000"/>
        </w:rPr>
      </w:pPr>
    </w:p>
    <w:p w14:paraId="4CA2E18E">
      <w:pPr>
        <w:spacing w:line="360" w:lineRule="auto"/>
        <w:ind w:right="105"/>
        <w:jc w:val="right"/>
        <w:rPr>
          <w:rFonts w:eastAsia="楷体_GB2312"/>
          <w:color w:val="000000"/>
        </w:rPr>
      </w:pPr>
      <w:r>
        <w:rPr>
          <w:rFonts w:eastAsia="楷体_GB2312"/>
          <w:color w:val="000000"/>
        </w:rPr>
        <w:t>【受托机构全称】</w:t>
      </w:r>
    </w:p>
    <w:p w14:paraId="1FB3D0CA">
      <w:pPr>
        <w:spacing w:line="360" w:lineRule="auto"/>
        <w:jc w:val="right"/>
        <w:rPr>
          <w:rFonts w:eastAsia="楷体_GB2312"/>
        </w:rPr>
      </w:pPr>
      <w:r>
        <w:rPr>
          <w:rFonts w:eastAsia="楷体_GB2312"/>
          <w:color w:val="000000"/>
        </w:rPr>
        <w:t>【  】年【  】月【  】日</w:t>
      </w:r>
    </w:p>
    <w:bookmarkEnd w:id="1817"/>
    <w:p w14:paraId="505DA4CE">
      <w:pPr>
        <w:spacing w:line="360" w:lineRule="auto"/>
        <w:outlineLvl w:val="0"/>
        <w:rPr>
          <w:rFonts w:eastAsia="楷体_GB2312"/>
          <w:b/>
          <w:color w:val="000000"/>
          <w:sz w:val="24"/>
        </w:rPr>
      </w:pPr>
      <w:r>
        <w:rPr>
          <w:rFonts w:eastAsia="楷体_GB2312"/>
          <w:color w:val="000000"/>
          <w:sz w:val="24"/>
        </w:rPr>
        <w:br w:type="page"/>
      </w:r>
      <w:bookmarkStart w:id="1819" w:name="_Toc219710710"/>
      <w:bookmarkStart w:id="1820" w:name="_Toc225538191"/>
      <w:r>
        <w:rPr>
          <w:rFonts w:eastAsia="楷体_GB2312"/>
          <w:b/>
          <w:color w:val="000000"/>
          <w:sz w:val="24"/>
        </w:rPr>
        <w:t>附件十二：单户资产转让协议（样本）</w:t>
      </w:r>
      <w:bookmarkEnd w:id="1819"/>
      <w:bookmarkEnd w:id="1820"/>
    </w:p>
    <w:p w14:paraId="3388615B">
      <w:pPr>
        <w:spacing w:after="240" w:line="360" w:lineRule="auto"/>
        <w:jc w:val="center"/>
        <w:rPr>
          <w:rFonts w:eastAsia="楷体_GB2312"/>
          <w:b/>
        </w:rPr>
      </w:pPr>
    </w:p>
    <w:p w14:paraId="120BB6D4">
      <w:pPr>
        <w:spacing w:after="240" w:line="360" w:lineRule="auto"/>
        <w:jc w:val="center"/>
        <w:rPr>
          <w:rFonts w:eastAsia="楷体_GB2312"/>
          <w:b/>
          <w:sz w:val="24"/>
        </w:rPr>
      </w:pPr>
      <w:r>
        <w:rPr>
          <w:rFonts w:eastAsia="楷体_GB2312"/>
          <w:b/>
          <w:sz w:val="24"/>
        </w:rPr>
        <w:t>单户资产转让协议（样本）</w:t>
      </w:r>
    </w:p>
    <w:p w14:paraId="6671A387">
      <w:pPr>
        <w:spacing w:after="240" w:line="360" w:lineRule="auto"/>
        <w:ind w:right="960"/>
        <w:jc w:val="right"/>
        <w:rPr>
          <w:rFonts w:eastAsia="楷体_GB2312"/>
          <w:color w:val="000000"/>
          <w:sz w:val="24"/>
        </w:rPr>
      </w:pPr>
      <w:r>
        <w:rPr>
          <w:rFonts w:eastAsia="楷体_GB2312"/>
          <w:color w:val="000000"/>
          <w:sz w:val="24"/>
        </w:rPr>
        <w:t>编号：【】</w:t>
      </w:r>
    </w:p>
    <w:p w14:paraId="309B5AF2">
      <w:pPr>
        <w:spacing w:after="240" w:line="360" w:lineRule="auto"/>
        <w:rPr>
          <w:rFonts w:eastAsia="楷体_GB2312"/>
          <w:color w:val="000000"/>
          <w:sz w:val="24"/>
        </w:rPr>
      </w:pPr>
      <w:r>
        <w:rPr>
          <w:rFonts w:eastAsia="楷体_GB2312"/>
          <w:color w:val="000000"/>
          <w:sz w:val="24"/>
        </w:rPr>
        <w:t>转让方：【发起机构全称】</w:t>
      </w:r>
    </w:p>
    <w:p w14:paraId="52FCB4C7">
      <w:pPr>
        <w:spacing w:after="240" w:line="360" w:lineRule="auto"/>
        <w:rPr>
          <w:rFonts w:eastAsia="楷体_GB2312"/>
          <w:color w:val="000000"/>
          <w:sz w:val="24"/>
        </w:rPr>
      </w:pPr>
      <w:r>
        <w:rPr>
          <w:rFonts w:eastAsia="楷体_GB2312"/>
          <w:color w:val="000000"/>
          <w:sz w:val="24"/>
        </w:rPr>
        <w:t>受让方：【受托机构全称】</w:t>
      </w:r>
    </w:p>
    <w:p w14:paraId="43B01F58">
      <w:pPr>
        <w:spacing w:after="240" w:line="360" w:lineRule="auto"/>
        <w:rPr>
          <w:rFonts w:eastAsia="楷体_GB2312"/>
          <w:color w:val="000000"/>
          <w:sz w:val="24"/>
        </w:rPr>
      </w:pPr>
    </w:p>
    <w:p w14:paraId="56AF3FC5">
      <w:pPr>
        <w:spacing w:after="240" w:line="360" w:lineRule="auto"/>
        <w:rPr>
          <w:rFonts w:eastAsia="楷体_GB2312"/>
          <w:color w:val="000000"/>
          <w:sz w:val="24"/>
        </w:rPr>
      </w:pPr>
      <w:r>
        <w:rPr>
          <w:rFonts w:eastAsia="楷体_GB2312"/>
          <w:color w:val="000000"/>
          <w:sz w:val="24"/>
        </w:rPr>
        <w:t>1、本协议由【发起机构全称】（“转让方”）与【受托机构全称】（“受让方”）于【】年【】月【】日签署。“转让方”与“受让方”在此同意，“转让方”向“受让方”转让在下述资产项下拥有的全部权益，该项转让于【】年【】月【】日完成并生效。自【】年【】月【】日，“转让方”在与该等资产所对应的贷款合同、担保合同及其他法律文件项下的全部权益也同时一并转让给“受让方”。</w:t>
      </w:r>
    </w:p>
    <w:p w14:paraId="1C2E4960">
      <w:pPr>
        <w:spacing w:after="240" w:line="360" w:lineRule="auto"/>
        <w:rPr>
          <w:rFonts w:eastAsia="楷体_GB2312"/>
          <w:color w:val="000000"/>
          <w:sz w:val="24"/>
        </w:rPr>
      </w:pPr>
    </w:p>
    <w:p w14:paraId="36C1B56D">
      <w:pPr>
        <w:spacing w:after="240" w:line="360" w:lineRule="auto"/>
        <w:rPr>
          <w:rFonts w:eastAsia="楷体_GB2312"/>
          <w:color w:val="000000"/>
          <w:sz w:val="24"/>
        </w:rPr>
      </w:pPr>
      <w:r>
        <w:rPr>
          <w:rFonts w:eastAsia="楷体_GB2312"/>
          <w:color w:val="000000"/>
          <w:sz w:val="24"/>
        </w:rPr>
        <w:t>借款人姓名：【】</w:t>
      </w:r>
    </w:p>
    <w:tbl>
      <w:tblPr>
        <w:tblStyle w:val="28"/>
        <w:tblW w:w="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1260"/>
        <w:gridCol w:w="1800"/>
        <w:gridCol w:w="1260"/>
        <w:gridCol w:w="1620"/>
      </w:tblGrid>
      <w:tr w14:paraId="3711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20" w:type="dxa"/>
          </w:tcPr>
          <w:p w14:paraId="4059F05D">
            <w:pPr>
              <w:spacing w:after="240" w:line="360" w:lineRule="auto"/>
              <w:rPr>
                <w:rFonts w:eastAsia="楷体_GB2312"/>
                <w:color w:val="000000"/>
                <w:sz w:val="24"/>
              </w:rPr>
            </w:pPr>
            <w:r>
              <w:rPr>
                <w:rFonts w:eastAsia="楷体_GB2312"/>
                <w:color w:val="000000"/>
                <w:sz w:val="24"/>
              </w:rPr>
              <w:t>序号</w:t>
            </w:r>
          </w:p>
        </w:tc>
        <w:tc>
          <w:tcPr>
            <w:tcW w:w="1980" w:type="dxa"/>
          </w:tcPr>
          <w:p w14:paraId="5566EA7D">
            <w:pPr>
              <w:spacing w:after="240" w:line="360" w:lineRule="auto"/>
              <w:rPr>
                <w:rFonts w:eastAsia="楷体_GB2312"/>
                <w:color w:val="000000"/>
                <w:sz w:val="24"/>
              </w:rPr>
            </w:pPr>
            <w:r>
              <w:rPr>
                <w:rFonts w:eastAsia="楷体_GB2312"/>
                <w:color w:val="000000"/>
                <w:sz w:val="24"/>
              </w:rPr>
              <w:t>贷款合同编号</w:t>
            </w:r>
          </w:p>
        </w:tc>
        <w:tc>
          <w:tcPr>
            <w:tcW w:w="1260" w:type="dxa"/>
          </w:tcPr>
          <w:p w14:paraId="683E9AEB">
            <w:pPr>
              <w:spacing w:after="240" w:line="360" w:lineRule="auto"/>
              <w:rPr>
                <w:rFonts w:eastAsia="楷体_GB2312"/>
                <w:color w:val="000000"/>
                <w:sz w:val="24"/>
              </w:rPr>
            </w:pPr>
            <w:r>
              <w:rPr>
                <w:rFonts w:eastAsia="楷体_GB2312"/>
                <w:color w:val="000000"/>
                <w:sz w:val="24"/>
              </w:rPr>
              <w:t>担保人名称</w:t>
            </w:r>
          </w:p>
        </w:tc>
        <w:tc>
          <w:tcPr>
            <w:tcW w:w="1800" w:type="dxa"/>
          </w:tcPr>
          <w:p w14:paraId="44CA1D96">
            <w:pPr>
              <w:spacing w:after="240" w:line="360" w:lineRule="auto"/>
              <w:rPr>
                <w:rFonts w:eastAsia="楷体_GB2312"/>
                <w:color w:val="000000"/>
                <w:sz w:val="24"/>
              </w:rPr>
            </w:pPr>
            <w:r>
              <w:rPr>
                <w:rFonts w:eastAsia="楷体_GB2312"/>
                <w:color w:val="000000"/>
                <w:sz w:val="24"/>
              </w:rPr>
              <w:t>担保合同编号</w:t>
            </w:r>
          </w:p>
        </w:tc>
        <w:tc>
          <w:tcPr>
            <w:tcW w:w="1260" w:type="dxa"/>
            <w:tcBorders>
              <w:top w:val="single" w:color="auto" w:sz="4" w:space="0"/>
              <w:left w:val="single" w:color="auto" w:sz="4" w:space="0"/>
              <w:bottom w:val="single" w:color="auto" w:sz="4" w:space="0"/>
              <w:right w:val="single" w:color="auto" w:sz="4" w:space="0"/>
            </w:tcBorders>
          </w:tcPr>
          <w:p w14:paraId="18DDD2C5">
            <w:pPr>
              <w:spacing w:after="240" w:line="360" w:lineRule="auto"/>
              <w:rPr>
                <w:rFonts w:eastAsia="楷体_GB2312"/>
                <w:color w:val="000000"/>
                <w:sz w:val="24"/>
              </w:rPr>
            </w:pPr>
            <w:r>
              <w:rPr>
                <w:rFonts w:eastAsia="楷体_GB2312"/>
                <w:color w:val="000000"/>
                <w:sz w:val="24"/>
              </w:rPr>
              <w:t>原始贷款行/分行</w:t>
            </w:r>
          </w:p>
        </w:tc>
        <w:tc>
          <w:tcPr>
            <w:tcW w:w="1620" w:type="dxa"/>
            <w:tcBorders>
              <w:top w:val="single" w:color="auto" w:sz="4" w:space="0"/>
              <w:left w:val="single" w:color="auto" w:sz="4" w:space="0"/>
              <w:bottom w:val="single" w:color="auto" w:sz="4" w:space="0"/>
              <w:right w:val="single" w:color="auto" w:sz="4" w:space="0"/>
            </w:tcBorders>
          </w:tcPr>
          <w:p w14:paraId="10EB89CA">
            <w:pPr>
              <w:spacing w:after="240" w:line="360" w:lineRule="auto"/>
              <w:rPr>
                <w:rFonts w:eastAsia="楷体_GB2312"/>
                <w:color w:val="000000"/>
                <w:sz w:val="24"/>
              </w:rPr>
            </w:pPr>
            <w:r>
              <w:rPr>
                <w:rFonts w:eastAsia="楷体_GB2312"/>
                <w:color w:val="000000"/>
                <w:sz w:val="24"/>
              </w:rPr>
              <w:t>债权本息余额（初始起算日：【】年【】月【】日）</w:t>
            </w:r>
          </w:p>
        </w:tc>
      </w:tr>
      <w:tr w14:paraId="3D354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720" w:type="dxa"/>
          </w:tcPr>
          <w:p w14:paraId="3F73C9AC">
            <w:pPr>
              <w:spacing w:after="240" w:line="360" w:lineRule="auto"/>
              <w:rPr>
                <w:rFonts w:eastAsia="楷体_GB2312"/>
                <w:color w:val="000000"/>
                <w:sz w:val="24"/>
              </w:rPr>
            </w:pPr>
          </w:p>
        </w:tc>
        <w:tc>
          <w:tcPr>
            <w:tcW w:w="1980" w:type="dxa"/>
          </w:tcPr>
          <w:p w14:paraId="580C9510">
            <w:pPr>
              <w:spacing w:after="240" w:line="360" w:lineRule="auto"/>
              <w:rPr>
                <w:rFonts w:eastAsia="楷体_GB2312"/>
                <w:color w:val="000000"/>
                <w:sz w:val="24"/>
              </w:rPr>
            </w:pPr>
          </w:p>
        </w:tc>
        <w:tc>
          <w:tcPr>
            <w:tcW w:w="1260" w:type="dxa"/>
          </w:tcPr>
          <w:p w14:paraId="75BF6EE3">
            <w:pPr>
              <w:spacing w:after="240" w:line="360" w:lineRule="auto"/>
              <w:rPr>
                <w:rFonts w:eastAsia="楷体_GB2312"/>
                <w:color w:val="000000"/>
                <w:sz w:val="24"/>
              </w:rPr>
            </w:pPr>
          </w:p>
        </w:tc>
        <w:tc>
          <w:tcPr>
            <w:tcW w:w="1800" w:type="dxa"/>
          </w:tcPr>
          <w:p w14:paraId="4C0DDFC4">
            <w:pPr>
              <w:spacing w:after="240" w:line="360" w:lineRule="auto"/>
              <w:rPr>
                <w:rFonts w:eastAsia="楷体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14:paraId="4B4E5238">
            <w:pPr>
              <w:spacing w:after="240" w:line="360" w:lineRule="auto"/>
              <w:rPr>
                <w:rFonts w:eastAsia="楷体_GB2312"/>
                <w:color w:val="000000"/>
                <w:sz w:val="24"/>
              </w:rPr>
            </w:pPr>
          </w:p>
        </w:tc>
        <w:tc>
          <w:tcPr>
            <w:tcW w:w="1620" w:type="dxa"/>
            <w:tcBorders>
              <w:top w:val="single" w:color="auto" w:sz="4" w:space="0"/>
              <w:left w:val="single" w:color="auto" w:sz="4" w:space="0"/>
              <w:bottom w:val="single" w:color="auto" w:sz="4" w:space="0"/>
              <w:right w:val="single" w:color="auto" w:sz="4" w:space="0"/>
            </w:tcBorders>
          </w:tcPr>
          <w:p w14:paraId="16B51D64">
            <w:pPr>
              <w:spacing w:after="240" w:line="360" w:lineRule="auto"/>
              <w:rPr>
                <w:rFonts w:eastAsia="楷体_GB2312"/>
                <w:color w:val="000000"/>
                <w:sz w:val="24"/>
              </w:rPr>
            </w:pPr>
          </w:p>
        </w:tc>
      </w:tr>
      <w:tr w14:paraId="6CD5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720" w:type="dxa"/>
          </w:tcPr>
          <w:p w14:paraId="3EEABBD6">
            <w:pPr>
              <w:spacing w:after="240" w:line="360" w:lineRule="auto"/>
              <w:rPr>
                <w:rFonts w:eastAsia="楷体_GB2312"/>
                <w:color w:val="000000"/>
                <w:sz w:val="24"/>
              </w:rPr>
            </w:pPr>
          </w:p>
        </w:tc>
        <w:tc>
          <w:tcPr>
            <w:tcW w:w="1980" w:type="dxa"/>
          </w:tcPr>
          <w:p w14:paraId="4E34C5E7">
            <w:pPr>
              <w:spacing w:after="240" w:line="360" w:lineRule="auto"/>
              <w:rPr>
                <w:rFonts w:eastAsia="楷体_GB2312"/>
                <w:color w:val="000000"/>
                <w:sz w:val="24"/>
              </w:rPr>
            </w:pPr>
          </w:p>
        </w:tc>
        <w:tc>
          <w:tcPr>
            <w:tcW w:w="1260" w:type="dxa"/>
          </w:tcPr>
          <w:p w14:paraId="5998FB7E">
            <w:pPr>
              <w:spacing w:after="240" w:line="360" w:lineRule="auto"/>
              <w:rPr>
                <w:rFonts w:eastAsia="楷体_GB2312"/>
                <w:color w:val="000000"/>
                <w:sz w:val="24"/>
              </w:rPr>
            </w:pPr>
          </w:p>
        </w:tc>
        <w:tc>
          <w:tcPr>
            <w:tcW w:w="1800" w:type="dxa"/>
          </w:tcPr>
          <w:p w14:paraId="5CF5030A">
            <w:pPr>
              <w:spacing w:after="240" w:line="360" w:lineRule="auto"/>
              <w:rPr>
                <w:rFonts w:eastAsia="楷体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14:paraId="3E82708C">
            <w:pPr>
              <w:spacing w:after="240" w:line="360" w:lineRule="auto"/>
              <w:rPr>
                <w:rFonts w:eastAsia="楷体_GB2312"/>
                <w:color w:val="000000"/>
                <w:sz w:val="24"/>
              </w:rPr>
            </w:pPr>
          </w:p>
        </w:tc>
        <w:tc>
          <w:tcPr>
            <w:tcW w:w="1620" w:type="dxa"/>
            <w:tcBorders>
              <w:top w:val="single" w:color="auto" w:sz="4" w:space="0"/>
              <w:left w:val="single" w:color="auto" w:sz="4" w:space="0"/>
              <w:bottom w:val="single" w:color="auto" w:sz="4" w:space="0"/>
              <w:right w:val="single" w:color="auto" w:sz="4" w:space="0"/>
            </w:tcBorders>
          </w:tcPr>
          <w:p w14:paraId="2D248380">
            <w:pPr>
              <w:spacing w:after="240" w:line="360" w:lineRule="auto"/>
              <w:rPr>
                <w:rFonts w:eastAsia="楷体_GB2312"/>
                <w:color w:val="000000"/>
                <w:sz w:val="24"/>
              </w:rPr>
            </w:pPr>
          </w:p>
        </w:tc>
      </w:tr>
    </w:tbl>
    <w:p w14:paraId="599F462A">
      <w:pPr>
        <w:spacing w:after="240" w:line="360" w:lineRule="auto"/>
        <w:rPr>
          <w:rFonts w:eastAsia="楷体_GB2312"/>
          <w:color w:val="000000"/>
          <w:sz w:val="24"/>
        </w:rPr>
      </w:pPr>
    </w:p>
    <w:p w14:paraId="4E53A7ED">
      <w:pPr>
        <w:spacing w:after="240" w:line="360" w:lineRule="auto"/>
        <w:rPr>
          <w:rFonts w:eastAsia="楷体_GB2312"/>
          <w:color w:val="000000"/>
          <w:sz w:val="24"/>
        </w:rPr>
      </w:pPr>
      <w:r>
        <w:rPr>
          <w:rFonts w:eastAsia="楷体_GB2312"/>
          <w:color w:val="000000"/>
          <w:sz w:val="24"/>
        </w:rPr>
        <w:t>2、本协议一式【】份，双方各执【】份。</w:t>
      </w:r>
    </w:p>
    <w:p w14:paraId="7A5E13CC">
      <w:pPr>
        <w:spacing w:after="240" w:line="360" w:lineRule="auto"/>
        <w:rPr>
          <w:rFonts w:eastAsia="楷体_GB2312"/>
          <w:color w:val="000000"/>
          <w:sz w:val="24"/>
        </w:rPr>
      </w:pPr>
    </w:p>
    <w:p w14:paraId="062A7E1C">
      <w:pPr>
        <w:spacing w:after="240" w:line="360" w:lineRule="auto"/>
        <w:rPr>
          <w:rFonts w:eastAsia="楷体_GB2312"/>
          <w:color w:val="000000"/>
          <w:sz w:val="24"/>
        </w:rPr>
      </w:pPr>
    </w:p>
    <w:p w14:paraId="2734BB89">
      <w:pPr>
        <w:spacing w:after="240" w:line="360" w:lineRule="auto"/>
        <w:rPr>
          <w:rFonts w:eastAsia="楷体_GB2312"/>
          <w:color w:val="000000"/>
          <w:sz w:val="24"/>
        </w:rPr>
      </w:pPr>
    </w:p>
    <w:p w14:paraId="2D0B3590">
      <w:pPr>
        <w:spacing w:after="240" w:line="360" w:lineRule="auto"/>
        <w:rPr>
          <w:rFonts w:eastAsia="楷体_GB2312"/>
          <w:color w:val="000000"/>
          <w:sz w:val="24"/>
        </w:rPr>
      </w:pPr>
      <w:r>
        <w:rPr>
          <w:rFonts w:eastAsia="楷体_GB2312"/>
          <w:color w:val="000000"/>
          <w:sz w:val="24"/>
        </w:rPr>
        <w:t>【发起机构全称】                     【受托机构全称】</w:t>
      </w:r>
    </w:p>
    <w:p w14:paraId="22129108">
      <w:pPr>
        <w:spacing w:after="240" w:line="360" w:lineRule="auto"/>
        <w:rPr>
          <w:rFonts w:eastAsia="楷体_GB2312"/>
          <w:color w:val="000000"/>
          <w:sz w:val="24"/>
        </w:rPr>
      </w:pPr>
    </w:p>
    <w:p w14:paraId="3D52B0D4">
      <w:pPr>
        <w:spacing w:after="240" w:line="360" w:lineRule="auto"/>
        <w:rPr>
          <w:rFonts w:eastAsia="楷体_GB2312"/>
          <w:color w:val="000000"/>
          <w:sz w:val="24"/>
        </w:rPr>
      </w:pPr>
      <w:r>
        <w:rPr>
          <w:rFonts w:eastAsia="楷体_GB2312"/>
          <w:color w:val="000000"/>
          <w:sz w:val="24"/>
        </w:rPr>
        <w:t>法定代表人（或授权代理人）：           法定代表人（或授权代理人）：</w:t>
      </w:r>
    </w:p>
    <w:p w14:paraId="28569573">
      <w:pPr>
        <w:spacing w:after="240" w:line="360" w:lineRule="auto"/>
        <w:rPr>
          <w:rFonts w:eastAsia="楷体_GB2312"/>
          <w:color w:val="000000"/>
          <w:sz w:val="24"/>
        </w:rPr>
      </w:pPr>
    </w:p>
    <w:p w14:paraId="1CB02DDA">
      <w:pPr>
        <w:spacing w:line="360" w:lineRule="auto"/>
        <w:rPr>
          <w:rFonts w:eastAsia="楷体_GB2312"/>
        </w:rPr>
      </w:pPr>
      <w:bookmarkStart w:id="1821" w:name="_DV_M375"/>
      <w:bookmarkEnd w:id="1821"/>
      <w:bookmarkStart w:id="1822" w:name="_DV_M376"/>
      <w:bookmarkEnd w:id="1822"/>
    </w:p>
    <w:sectPr>
      <w:footerReference r:id="rId7" w:type="firs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95215">
    <w:pPr>
      <w:pStyle w:val="19"/>
      <w:framePr w:wrap="around" w:vAnchor="text" w:hAnchor="margin" w:xAlign="center" w:y="1"/>
      <w:rPr>
        <w:rStyle w:val="32"/>
      </w:rPr>
    </w:pPr>
    <w:r>
      <w:fldChar w:fldCharType="begin"/>
    </w:r>
    <w:r>
      <w:rPr>
        <w:rStyle w:val="32"/>
      </w:rPr>
      <w:instrText xml:space="preserve">PAGE  </w:instrText>
    </w:r>
    <w:r>
      <w:fldChar w:fldCharType="separate"/>
    </w:r>
    <w:r>
      <w:rPr>
        <w:rStyle w:val="32"/>
      </w:rPr>
      <w:t>94</w:t>
    </w:r>
    <w:r>
      <w:fldChar w:fldCharType="end"/>
    </w:r>
  </w:p>
  <w:p w14:paraId="6D9ED2D5">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EBAB9">
    <w:pPr>
      <w:pStyle w:val="19"/>
      <w:framePr w:wrap="around" w:vAnchor="text" w:hAnchor="margin" w:xAlign="center" w:y="1"/>
      <w:rPr>
        <w:rStyle w:val="32"/>
      </w:rPr>
    </w:pPr>
    <w:r>
      <w:fldChar w:fldCharType="begin"/>
    </w:r>
    <w:r>
      <w:rPr>
        <w:rStyle w:val="32"/>
      </w:rPr>
      <w:instrText xml:space="preserve">PAGE  </w:instrText>
    </w:r>
    <w:r>
      <w:fldChar w:fldCharType="separate"/>
    </w:r>
    <w:r>
      <w:rPr>
        <w:rStyle w:val="32"/>
      </w:rPr>
      <w:t>4</w:t>
    </w:r>
    <w:r>
      <w:fldChar w:fldCharType="end"/>
    </w:r>
  </w:p>
  <w:p w14:paraId="7E9DEAAC">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80881">
    <w:pPr>
      <w:pStyle w:val="19"/>
      <w:spacing w:before="120" w:after="12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444871"/>
    </w:sdtPr>
    <w:sdtContent>
      <w:p w14:paraId="57D5B02F">
        <w:pPr>
          <w:pStyle w:val="19"/>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C95BA9E">
      <w:pPr>
        <w:pStyle w:val="24"/>
      </w:pPr>
      <w:r>
        <w:rPr>
          <w:rStyle w:val="36"/>
        </w:rPr>
        <w:footnoteRef/>
      </w:r>
      <w:r>
        <w:t xml:space="preserve"> </w:t>
      </w:r>
      <w:r>
        <w:rPr>
          <w:rFonts w:hint="eastAsia" w:ascii="楷体_GB2312" w:hAnsi="楷体_GB2312" w:eastAsia="楷体_GB2312" w:cs="楷体_GB2312"/>
        </w:rPr>
        <w:t>本合同版本作为不良贷款资产支持证券的标准范本供市场机构参考，非强制适用，合同条款可根据项目具体情况予以调整，法律法规另有规定的除外。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4"/>
      <w:lvlText w:val=""/>
      <w:lvlJc w:val="left"/>
      <w:pPr>
        <w:tabs>
          <w:tab w:val="left" w:pos="780"/>
        </w:tabs>
        <w:ind w:left="780" w:hanging="360"/>
      </w:pPr>
      <w:rPr>
        <w:rFonts w:hint="default" w:ascii="Wingdings" w:hAnsi="Wingdings"/>
      </w:rPr>
    </w:lvl>
  </w:abstractNum>
  <w:abstractNum w:abstractNumId="1">
    <w:nsid w:val="FFFFFF89"/>
    <w:multiLevelType w:val="singleLevel"/>
    <w:tmpl w:val="FFFFFF89"/>
    <w:lvl w:ilvl="0" w:tentative="0">
      <w:start w:val="1"/>
      <w:numFmt w:val="bullet"/>
      <w:pStyle w:val="7"/>
      <w:lvlText w:val=""/>
      <w:lvlJc w:val="left"/>
      <w:pPr>
        <w:tabs>
          <w:tab w:val="left" w:pos="360"/>
        </w:tabs>
        <w:ind w:left="360" w:hanging="360"/>
      </w:pPr>
      <w:rPr>
        <w:rFonts w:hint="default" w:ascii="Symbol" w:hAnsi="Symbol"/>
      </w:rPr>
    </w:lvl>
  </w:abstractNum>
  <w:abstractNum w:abstractNumId="2">
    <w:nsid w:val="00000023"/>
    <w:multiLevelType w:val="singleLevel"/>
    <w:tmpl w:val="00000023"/>
    <w:lvl w:ilvl="0" w:tentative="0">
      <w:start w:val="1"/>
      <w:numFmt w:val="decimal"/>
      <w:pStyle w:val="97"/>
      <w:lvlText w:val="(%1)"/>
      <w:lvlJc w:val="left"/>
      <w:pPr>
        <w:tabs>
          <w:tab w:val="left" w:pos="567"/>
        </w:tabs>
        <w:ind w:left="567" w:hanging="567"/>
      </w:pPr>
      <w:rPr>
        <w:rFonts w:hint="eastAsia" w:cs="Times New Roman"/>
        <w:b/>
        <w:i w:val="0"/>
        <w:sz w:val="23"/>
        <w:szCs w:val="23"/>
      </w:rPr>
    </w:lvl>
  </w:abstractNum>
  <w:abstractNum w:abstractNumId="3">
    <w:nsid w:val="04B24C0F"/>
    <w:multiLevelType w:val="multilevel"/>
    <w:tmpl w:val="04B24C0F"/>
    <w:lvl w:ilvl="0" w:tentative="0">
      <w:start w:val="1"/>
      <w:numFmt w:val="decimal"/>
      <w:lvlText w:val="(%1)"/>
      <w:lvlJc w:val="left"/>
      <w:pPr>
        <w:ind w:left="2040" w:hanging="420"/>
      </w:pPr>
      <w:rPr>
        <w:b w:val="0"/>
        <w:i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4">
    <w:nsid w:val="06AC16FF"/>
    <w:multiLevelType w:val="multilevel"/>
    <w:tmpl w:val="06AC16FF"/>
    <w:lvl w:ilvl="0" w:tentative="0">
      <w:start w:val="1"/>
      <w:numFmt w:val="decimal"/>
      <w:lvlText w:val="(%1)"/>
      <w:lvlJc w:val="left"/>
      <w:pPr>
        <w:ind w:left="1412" w:hanging="420"/>
      </w:pPr>
      <w:rPr>
        <w:rFonts w:hint="eastAsia"/>
        <w:b w:val="0"/>
        <w:bCs/>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5">
    <w:nsid w:val="077E20A7"/>
    <w:multiLevelType w:val="multilevel"/>
    <w:tmpl w:val="077E20A7"/>
    <w:lvl w:ilvl="0" w:tentative="0">
      <w:start w:val="1"/>
      <w:numFmt w:val="decimal"/>
      <w:lvlText w:val="(%1)"/>
      <w:lvlJc w:val="left"/>
      <w:pPr>
        <w:ind w:left="1412" w:hanging="420"/>
      </w:pPr>
      <w:rPr>
        <w:rFonts w:hint="eastAsia"/>
        <w:b w:val="0"/>
        <w:color w:val="auto"/>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6">
    <w:nsid w:val="082655F7"/>
    <w:multiLevelType w:val="multilevel"/>
    <w:tmpl w:val="082655F7"/>
    <w:lvl w:ilvl="0" w:tentative="0">
      <w:start w:val="1"/>
      <w:numFmt w:val="decimal"/>
      <w:lvlText w:val="(%1)"/>
      <w:lvlJc w:val="left"/>
      <w:pPr>
        <w:ind w:left="2040" w:hanging="420"/>
      </w:pPr>
      <w:rPr>
        <w:rFonts w:hint="eastAsia"/>
        <w:b w:val="0"/>
        <w:i w:val="0"/>
        <w:color w:val="auto"/>
        <w:u w:val="none"/>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7">
    <w:nsid w:val="0CA66659"/>
    <w:multiLevelType w:val="multilevel"/>
    <w:tmpl w:val="0CA66659"/>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8">
    <w:nsid w:val="13EE39BC"/>
    <w:multiLevelType w:val="multilevel"/>
    <w:tmpl w:val="13EE39B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72B70FD"/>
    <w:multiLevelType w:val="multilevel"/>
    <w:tmpl w:val="172B70FD"/>
    <w:lvl w:ilvl="0" w:tentative="0">
      <w:start w:val="1"/>
      <w:numFmt w:val="decimal"/>
      <w:lvlText w:val="(%1)"/>
      <w:lvlJc w:val="left"/>
      <w:pPr>
        <w:ind w:left="1412" w:hanging="420"/>
      </w:pPr>
      <w:rPr>
        <w:rFonts w:hint="default" w:ascii="Times New Roman" w:hAnsi="Times New Roman" w:cs="Times New Roman"/>
        <w:b w:val="0"/>
        <w:color w:val="auto"/>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0">
    <w:nsid w:val="17A1428A"/>
    <w:multiLevelType w:val="multilevel"/>
    <w:tmpl w:val="17A1428A"/>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867542D"/>
    <w:multiLevelType w:val="multilevel"/>
    <w:tmpl w:val="1867542D"/>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hint="eastAsia"/>
      </w:rPr>
    </w:lvl>
    <w:lvl w:ilvl="2" w:tentative="0">
      <w:start w:val="1"/>
      <w:numFmt w:val="lowerRoman"/>
      <w:lvlText w:val="%3."/>
      <w:lvlJc w:val="right"/>
      <w:pPr>
        <w:ind w:left="2880" w:hanging="420"/>
      </w:pPr>
      <w:rPr>
        <w:rFonts w:hint="eastAsia"/>
      </w:rPr>
    </w:lvl>
    <w:lvl w:ilvl="3" w:tentative="0">
      <w:start w:val="1"/>
      <w:numFmt w:val="decimal"/>
      <w:lvlText w:val="%4."/>
      <w:lvlJc w:val="left"/>
      <w:pPr>
        <w:ind w:left="3300" w:hanging="420"/>
      </w:pPr>
      <w:rPr>
        <w:rFonts w:hint="eastAsia"/>
      </w:rPr>
    </w:lvl>
    <w:lvl w:ilvl="4" w:tentative="0">
      <w:start w:val="1"/>
      <w:numFmt w:val="lowerLetter"/>
      <w:lvlText w:val="%5)"/>
      <w:lvlJc w:val="left"/>
      <w:pPr>
        <w:ind w:left="3720" w:hanging="420"/>
      </w:pPr>
      <w:rPr>
        <w:rFonts w:hint="eastAsia"/>
      </w:rPr>
    </w:lvl>
    <w:lvl w:ilvl="5" w:tentative="0">
      <w:start w:val="1"/>
      <w:numFmt w:val="lowerRoman"/>
      <w:lvlText w:val="%6."/>
      <w:lvlJc w:val="right"/>
      <w:pPr>
        <w:ind w:left="4140" w:hanging="420"/>
      </w:pPr>
      <w:rPr>
        <w:rFonts w:hint="eastAsia"/>
      </w:rPr>
    </w:lvl>
    <w:lvl w:ilvl="6" w:tentative="0">
      <w:start w:val="1"/>
      <w:numFmt w:val="decimal"/>
      <w:lvlText w:val="%7."/>
      <w:lvlJc w:val="left"/>
      <w:pPr>
        <w:ind w:left="4560" w:hanging="420"/>
      </w:pPr>
      <w:rPr>
        <w:rFonts w:hint="eastAsia"/>
      </w:rPr>
    </w:lvl>
    <w:lvl w:ilvl="7" w:tentative="0">
      <w:start w:val="1"/>
      <w:numFmt w:val="lowerLetter"/>
      <w:lvlText w:val="%8)"/>
      <w:lvlJc w:val="left"/>
      <w:pPr>
        <w:ind w:left="4980" w:hanging="420"/>
      </w:pPr>
      <w:rPr>
        <w:rFonts w:hint="eastAsia"/>
      </w:rPr>
    </w:lvl>
    <w:lvl w:ilvl="8" w:tentative="0">
      <w:start w:val="1"/>
      <w:numFmt w:val="lowerRoman"/>
      <w:lvlText w:val="%9."/>
      <w:lvlJc w:val="right"/>
      <w:pPr>
        <w:ind w:left="5400" w:hanging="420"/>
      </w:pPr>
      <w:rPr>
        <w:rFonts w:hint="eastAsia"/>
      </w:rPr>
    </w:lvl>
  </w:abstractNum>
  <w:abstractNum w:abstractNumId="12">
    <w:nsid w:val="1D964B92"/>
    <w:multiLevelType w:val="multilevel"/>
    <w:tmpl w:val="1D964B92"/>
    <w:lvl w:ilvl="0" w:tentative="0">
      <w:start w:val="1"/>
      <w:numFmt w:val="decimal"/>
      <w:lvlText w:val="(%1)"/>
      <w:lvlJc w:val="left"/>
      <w:pPr>
        <w:ind w:left="1412" w:hanging="420"/>
      </w:pPr>
      <w:rPr>
        <w:rFonts w:hint="eastAsia"/>
        <w:b w:val="0"/>
        <w:color w:val="auto"/>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3">
    <w:nsid w:val="1DCF359E"/>
    <w:multiLevelType w:val="multilevel"/>
    <w:tmpl w:val="1DCF359E"/>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FC910BE"/>
    <w:multiLevelType w:val="multilevel"/>
    <w:tmpl w:val="1FC910BE"/>
    <w:lvl w:ilvl="0" w:tentative="0">
      <w:start w:val="1"/>
      <w:numFmt w:val="decimal"/>
      <w:lvlText w:val="(%1)"/>
      <w:lvlJc w:val="left"/>
      <w:pPr>
        <w:ind w:left="2100" w:hanging="420"/>
      </w:pPr>
      <w:rPr>
        <w:rFonts w:hint="eastAsia"/>
        <w:b w:val="0"/>
        <w:color w:val="auto"/>
      </w:rPr>
    </w:lvl>
    <w:lvl w:ilvl="1" w:tentative="0">
      <w:start w:val="1"/>
      <w:numFmt w:val="lowerLetter"/>
      <w:lvlText w:val="%2)"/>
      <w:lvlJc w:val="left"/>
      <w:pPr>
        <w:ind w:left="2520" w:hanging="420"/>
      </w:pPr>
    </w:lvl>
    <w:lvl w:ilvl="2" w:tentative="0">
      <w:start w:val="1"/>
      <w:numFmt w:val="lowerRoman"/>
      <w:lvlText w:val="%3."/>
      <w:lvlJc w:val="right"/>
      <w:pPr>
        <w:ind w:left="2940" w:hanging="420"/>
      </w:pPr>
    </w:lvl>
    <w:lvl w:ilvl="3" w:tentative="0">
      <w:start w:val="1"/>
      <w:numFmt w:val="decimal"/>
      <w:lvlText w:val="%4."/>
      <w:lvlJc w:val="left"/>
      <w:pPr>
        <w:ind w:left="3360" w:hanging="420"/>
      </w:pPr>
    </w:lvl>
    <w:lvl w:ilvl="4" w:tentative="0">
      <w:start w:val="1"/>
      <w:numFmt w:val="lowerLetter"/>
      <w:lvlText w:val="%5)"/>
      <w:lvlJc w:val="left"/>
      <w:pPr>
        <w:ind w:left="3780" w:hanging="420"/>
      </w:pPr>
    </w:lvl>
    <w:lvl w:ilvl="5" w:tentative="0">
      <w:start w:val="1"/>
      <w:numFmt w:val="lowerRoman"/>
      <w:lvlText w:val="%6."/>
      <w:lvlJc w:val="right"/>
      <w:pPr>
        <w:ind w:left="4200" w:hanging="420"/>
      </w:pPr>
    </w:lvl>
    <w:lvl w:ilvl="6" w:tentative="0">
      <w:start w:val="1"/>
      <w:numFmt w:val="decimal"/>
      <w:lvlText w:val="%7."/>
      <w:lvlJc w:val="left"/>
      <w:pPr>
        <w:ind w:left="4620" w:hanging="420"/>
      </w:pPr>
    </w:lvl>
    <w:lvl w:ilvl="7" w:tentative="0">
      <w:start w:val="1"/>
      <w:numFmt w:val="lowerLetter"/>
      <w:lvlText w:val="%8)"/>
      <w:lvlJc w:val="left"/>
      <w:pPr>
        <w:ind w:left="5040" w:hanging="420"/>
      </w:pPr>
    </w:lvl>
    <w:lvl w:ilvl="8" w:tentative="0">
      <w:start w:val="1"/>
      <w:numFmt w:val="lowerRoman"/>
      <w:lvlText w:val="%9."/>
      <w:lvlJc w:val="right"/>
      <w:pPr>
        <w:ind w:left="5460" w:hanging="420"/>
      </w:pPr>
    </w:lvl>
  </w:abstractNum>
  <w:abstractNum w:abstractNumId="15">
    <w:nsid w:val="25584BC6"/>
    <w:multiLevelType w:val="multilevel"/>
    <w:tmpl w:val="25584BC6"/>
    <w:lvl w:ilvl="0" w:tentative="0">
      <w:start w:val="1"/>
      <w:numFmt w:val="decimal"/>
      <w:lvlText w:val="%1"/>
      <w:lvlJc w:val="left"/>
      <w:pPr>
        <w:tabs>
          <w:tab w:val="left" w:pos="425"/>
        </w:tabs>
        <w:ind w:left="425" w:hanging="425"/>
      </w:pPr>
      <w:rPr>
        <w:b/>
        <w:i w:val="0"/>
        <w:iCs w:val="0"/>
      </w:rPr>
    </w:lvl>
    <w:lvl w:ilvl="1" w:tentative="0">
      <w:start w:val="1"/>
      <w:numFmt w:val="decimal"/>
      <w:lvlText w:val="%1.%2"/>
      <w:lvlJc w:val="left"/>
      <w:pPr>
        <w:tabs>
          <w:tab w:val="left" w:pos="992"/>
        </w:tabs>
        <w:ind w:left="992" w:hanging="567"/>
      </w:pPr>
      <w:rPr>
        <w:b/>
        <w:color w:val="auto"/>
        <w:sz w:val="24"/>
        <w:szCs w:val="32"/>
      </w:rPr>
    </w:lvl>
    <w:lvl w:ilvl="2" w:tentative="0">
      <w:start w:val="1"/>
      <w:numFmt w:val="decimal"/>
      <w:lvlText w:val="%1.%2.%3"/>
      <w:lvlJc w:val="left"/>
      <w:pPr>
        <w:tabs>
          <w:tab w:val="left" w:pos="1712"/>
        </w:tabs>
        <w:ind w:left="1559" w:hanging="567"/>
      </w:pPr>
      <w:rPr>
        <w:rFonts w:hint="default" w:ascii="Times New Roman" w:hAnsi="Times New Roman" w:cs="Times New Roman"/>
        <w:b/>
        <w:i w:val="0"/>
        <w:color w:val="auto"/>
        <w:sz w:val="24"/>
        <w:szCs w:val="24"/>
      </w:rPr>
    </w:lvl>
    <w:lvl w:ilvl="3" w:tentative="0">
      <w:start w:val="1"/>
      <w:numFmt w:val="decimal"/>
      <w:lvlText w:val="(%4)"/>
      <w:lvlJc w:val="left"/>
      <w:pPr>
        <w:tabs>
          <w:tab w:val="left" w:pos="2356"/>
        </w:tabs>
        <w:ind w:left="1984" w:hanging="708"/>
      </w:pPr>
      <w:rPr>
        <w:rFonts w:hint="eastAsia"/>
        <w:b w:val="0"/>
      </w:r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6">
    <w:nsid w:val="27176060"/>
    <w:multiLevelType w:val="multilevel"/>
    <w:tmpl w:val="27176060"/>
    <w:lvl w:ilvl="0" w:tentative="0">
      <w:start w:val="1"/>
      <w:numFmt w:val="decimal"/>
      <w:lvlText w:val="(%1)"/>
      <w:lvlJc w:val="left"/>
      <w:pPr>
        <w:ind w:left="1412" w:hanging="420"/>
      </w:pPr>
      <w:rPr>
        <w:rFonts w:hint="eastAsia"/>
        <w:b w:val="0"/>
        <w:bCs w:val="0"/>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7">
    <w:nsid w:val="278D01BC"/>
    <w:multiLevelType w:val="multilevel"/>
    <w:tmpl w:val="278D01BC"/>
    <w:lvl w:ilvl="0" w:tentative="0">
      <w:start w:val="1"/>
      <w:numFmt w:val="decimal"/>
      <w:lvlText w:val="(%1)"/>
      <w:lvlJc w:val="left"/>
      <w:pPr>
        <w:ind w:left="2121" w:hanging="420"/>
      </w:pPr>
      <w:rPr>
        <w:rFonts w:hint="eastAsia"/>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18">
    <w:nsid w:val="2A74698E"/>
    <w:multiLevelType w:val="multilevel"/>
    <w:tmpl w:val="2A74698E"/>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900"/>
        </w:tabs>
        <w:ind w:left="-90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60"/>
        </w:tabs>
        <w:ind w:left="-60" w:hanging="420"/>
      </w:pPr>
    </w:lvl>
    <w:lvl w:ilvl="4" w:tentative="0">
      <w:start w:val="1"/>
      <w:numFmt w:val="lowerLetter"/>
      <w:lvlText w:val="%5)"/>
      <w:lvlJc w:val="left"/>
      <w:pPr>
        <w:tabs>
          <w:tab w:val="left" w:pos="360"/>
        </w:tabs>
        <w:ind w:left="360" w:hanging="420"/>
      </w:pPr>
    </w:lvl>
    <w:lvl w:ilvl="5" w:tentative="0">
      <w:start w:val="1"/>
      <w:numFmt w:val="lowerRoman"/>
      <w:lvlText w:val="%6."/>
      <w:lvlJc w:val="right"/>
      <w:pPr>
        <w:tabs>
          <w:tab w:val="left" w:pos="780"/>
        </w:tabs>
        <w:ind w:left="780" w:hanging="420"/>
      </w:pPr>
    </w:lvl>
    <w:lvl w:ilvl="6" w:tentative="0">
      <w:start w:val="1"/>
      <w:numFmt w:val="decimal"/>
      <w:lvlText w:val="%7."/>
      <w:lvlJc w:val="left"/>
      <w:pPr>
        <w:tabs>
          <w:tab w:val="left" w:pos="1200"/>
        </w:tabs>
        <w:ind w:left="1200" w:hanging="420"/>
      </w:pPr>
    </w:lvl>
    <w:lvl w:ilvl="7" w:tentative="0">
      <w:start w:val="1"/>
      <w:numFmt w:val="lowerLetter"/>
      <w:lvlText w:val="%8)"/>
      <w:lvlJc w:val="left"/>
      <w:pPr>
        <w:tabs>
          <w:tab w:val="left" w:pos="1620"/>
        </w:tabs>
        <w:ind w:left="1620" w:hanging="420"/>
      </w:pPr>
    </w:lvl>
    <w:lvl w:ilvl="8" w:tentative="0">
      <w:start w:val="1"/>
      <w:numFmt w:val="lowerRoman"/>
      <w:lvlText w:val="%9."/>
      <w:lvlJc w:val="right"/>
      <w:pPr>
        <w:tabs>
          <w:tab w:val="left" w:pos="2040"/>
        </w:tabs>
        <w:ind w:left="2040" w:hanging="420"/>
      </w:pPr>
    </w:lvl>
  </w:abstractNum>
  <w:abstractNum w:abstractNumId="19">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0">
    <w:nsid w:val="325E7F7E"/>
    <w:multiLevelType w:val="multilevel"/>
    <w:tmpl w:val="325E7F7E"/>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1">
    <w:nsid w:val="332546EE"/>
    <w:multiLevelType w:val="multilevel"/>
    <w:tmpl w:val="332546E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5066CB6"/>
    <w:multiLevelType w:val="multilevel"/>
    <w:tmpl w:val="35066CB6"/>
    <w:lvl w:ilvl="0" w:tentative="0">
      <w:start w:val="1"/>
      <w:numFmt w:val="decimal"/>
      <w:lvlText w:val="(%1)"/>
      <w:lvlJc w:val="left"/>
      <w:pPr>
        <w:ind w:left="2121" w:hanging="420"/>
      </w:pPr>
      <w:rPr>
        <w:rFonts w:hint="eastAsia"/>
        <w:b w:val="0"/>
        <w:color w:val="auto"/>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3740496C"/>
    <w:multiLevelType w:val="multilevel"/>
    <w:tmpl w:val="3740496C"/>
    <w:lvl w:ilvl="0" w:tentative="0">
      <w:start w:val="1"/>
      <w:numFmt w:val="decimal"/>
      <w:lvlText w:val="(%1)"/>
      <w:lvlJc w:val="left"/>
      <w:pPr>
        <w:ind w:left="2040" w:hanging="420"/>
      </w:pPr>
      <w:rPr>
        <w:rFonts w:hint="eastAsia"/>
        <w:b w:val="0"/>
        <w:i w:val="0"/>
        <w:color w:val="auto"/>
      </w:rPr>
    </w:lvl>
    <w:lvl w:ilvl="1" w:tentative="0">
      <w:start w:val="1"/>
      <w:numFmt w:val="lowerLetter"/>
      <w:lvlText w:val="%2)"/>
      <w:lvlJc w:val="left"/>
      <w:pPr>
        <w:ind w:left="2460" w:hanging="420"/>
      </w:pPr>
      <w:rPr>
        <w:rFonts w:hint="eastAsia"/>
      </w:rPr>
    </w:lvl>
    <w:lvl w:ilvl="2" w:tentative="0">
      <w:start w:val="1"/>
      <w:numFmt w:val="lowerRoman"/>
      <w:lvlText w:val="%3."/>
      <w:lvlJc w:val="right"/>
      <w:pPr>
        <w:ind w:left="2880" w:hanging="420"/>
      </w:pPr>
      <w:rPr>
        <w:rFonts w:hint="eastAsia"/>
      </w:rPr>
    </w:lvl>
    <w:lvl w:ilvl="3" w:tentative="0">
      <w:start w:val="1"/>
      <w:numFmt w:val="decimal"/>
      <w:lvlText w:val="%4."/>
      <w:lvlJc w:val="left"/>
      <w:pPr>
        <w:ind w:left="3300" w:hanging="420"/>
      </w:pPr>
      <w:rPr>
        <w:rFonts w:hint="eastAsia"/>
      </w:rPr>
    </w:lvl>
    <w:lvl w:ilvl="4" w:tentative="0">
      <w:start w:val="1"/>
      <w:numFmt w:val="lowerLetter"/>
      <w:lvlText w:val="%5)"/>
      <w:lvlJc w:val="left"/>
      <w:pPr>
        <w:ind w:left="3720" w:hanging="420"/>
      </w:pPr>
      <w:rPr>
        <w:rFonts w:hint="eastAsia"/>
      </w:rPr>
    </w:lvl>
    <w:lvl w:ilvl="5" w:tentative="0">
      <w:start w:val="1"/>
      <w:numFmt w:val="lowerRoman"/>
      <w:lvlText w:val="%6."/>
      <w:lvlJc w:val="right"/>
      <w:pPr>
        <w:ind w:left="4140" w:hanging="420"/>
      </w:pPr>
      <w:rPr>
        <w:rFonts w:hint="eastAsia"/>
      </w:rPr>
    </w:lvl>
    <w:lvl w:ilvl="6" w:tentative="0">
      <w:start w:val="1"/>
      <w:numFmt w:val="decimal"/>
      <w:lvlText w:val="%7."/>
      <w:lvlJc w:val="left"/>
      <w:pPr>
        <w:ind w:left="4560" w:hanging="420"/>
      </w:pPr>
      <w:rPr>
        <w:rFonts w:hint="eastAsia"/>
      </w:rPr>
    </w:lvl>
    <w:lvl w:ilvl="7" w:tentative="0">
      <w:start w:val="1"/>
      <w:numFmt w:val="lowerLetter"/>
      <w:lvlText w:val="%8)"/>
      <w:lvlJc w:val="left"/>
      <w:pPr>
        <w:ind w:left="4980" w:hanging="420"/>
      </w:pPr>
      <w:rPr>
        <w:rFonts w:hint="eastAsia"/>
      </w:rPr>
    </w:lvl>
    <w:lvl w:ilvl="8" w:tentative="0">
      <w:start w:val="1"/>
      <w:numFmt w:val="lowerRoman"/>
      <w:lvlText w:val="%9."/>
      <w:lvlJc w:val="right"/>
      <w:pPr>
        <w:ind w:left="5400" w:hanging="420"/>
      </w:pPr>
      <w:rPr>
        <w:rFonts w:hint="eastAsia"/>
      </w:rPr>
    </w:lvl>
  </w:abstractNum>
  <w:abstractNum w:abstractNumId="24">
    <w:nsid w:val="38677BFD"/>
    <w:multiLevelType w:val="multilevel"/>
    <w:tmpl w:val="38677BFD"/>
    <w:lvl w:ilvl="0" w:tentative="0">
      <w:start w:val="1"/>
      <w:numFmt w:val="decimal"/>
      <w:lvlText w:val="(%1)"/>
      <w:lvlJc w:val="left"/>
      <w:pPr>
        <w:ind w:left="2121" w:hanging="420"/>
      </w:pPr>
      <w:rPr>
        <w:rFonts w:hint="eastAsia"/>
        <w:b w:val="0"/>
        <w:i w:val="0"/>
        <w:iCs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5">
    <w:nsid w:val="38E32CF2"/>
    <w:multiLevelType w:val="multilevel"/>
    <w:tmpl w:val="38E32CF2"/>
    <w:lvl w:ilvl="0" w:tentative="0">
      <w:start w:val="1"/>
      <w:numFmt w:val="decimal"/>
      <w:lvlText w:val="(%1)"/>
      <w:lvlJc w:val="left"/>
      <w:pPr>
        <w:ind w:left="1412" w:hanging="420"/>
      </w:pPr>
      <w:rPr>
        <w:rFonts w:hint="eastAsia"/>
        <w:b w:val="0"/>
        <w:i w:val="0"/>
        <w:iCs w:val="0"/>
        <w:color w:val="auto"/>
        <w:sz w:val="24"/>
        <w:szCs w:val="24"/>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26">
    <w:nsid w:val="40A70A6B"/>
    <w:multiLevelType w:val="multilevel"/>
    <w:tmpl w:val="40A70A6B"/>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7">
    <w:nsid w:val="4237015E"/>
    <w:multiLevelType w:val="multilevel"/>
    <w:tmpl w:val="4237015E"/>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8">
    <w:nsid w:val="429A3DE6"/>
    <w:multiLevelType w:val="multilevel"/>
    <w:tmpl w:val="429A3DE6"/>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29">
    <w:nsid w:val="46F7416E"/>
    <w:multiLevelType w:val="multilevel"/>
    <w:tmpl w:val="46F7416E"/>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0">
    <w:nsid w:val="47EF5179"/>
    <w:multiLevelType w:val="multilevel"/>
    <w:tmpl w:val="47EF5179"/>
    <w:lvl w:ilvl="0" w:tentative="0">
      <w:start w:val="1"/>
      <w:numFmt w:val="lowerLetter"/>
      <w:lvlText w:val="(%1)"/>
      <w:lvlJc w:val="left"/>
      <w:pPr>
        <w:ind w:left="1832" w:hanging="420"/>
      </w:pPr>
      <w:rPr>
        <w:rFonts w:hint="eastAsia"/>
        <w:b w:val="0"/>
        <w:color w:val="auto"/>
        <w:lang w:val="en-US"/>
      </w:rPr>
    </w:lvl>
    <w:lvl w:ilvl="1" w:tentative="0">
      <w:start w:val="1"/>
      <w:numFmt w:val="lowerLetter"/>
      <w:lvlText w:val="%2)"/>
      <w:lvlJc w:val="left"/>
      <w:pPr>
        <w:ind w:left="2252" w:hanging="420"/>
      </w:pPr>
    </w:lvl>
    <w:lvl w:ilvl="2" w:tentative="0">
      <w:start w:val="1"/>
      <w:numFmt w:val="lowerRoman"/>
      <w:lvlText w:val="%3."/>
      <w:lvlJc w:val="right"/>
      <w:pPr>
        <w:ind w:left="2672" w:hanging="420"/>
      </w:pPr>
    </w:lvl>
    <w:lvl w:ilvl="3" w:tentative="0">
      <w:start w:val="1"/>
      <w:numFmt w:val="decimal"/>
      <w:lvlText w:val="%4."/>
      <w:lvlJc w:val="left"/>
      <w:pPr>
        <w:ind w:left="3092" w:hanging="420"/>
      </w:pPr>
    </w:lvl>
    <w:lvl w:ilvl="4" w:tentative="0">
      <w:start w:val="1"/>
      <w:numFmt w:val="lowerLetter"/>
      <w:lvlText w:val="%5)"/>
      <w:lvlJc w:val="left"/>
      <w:pPr>
        <w:ind w:left="3512" w:hanging="420"/>
      </w:pPr>
    </w:lvl>
    <w:lvl w:ilvl="5" w:tentative="0">
      <w:start w:val="1"/>
      <w:numFmt w:val="lowerRoman"/>
      <w:lvlText w:val="%6."/>
      <w:lvlJc w:val="right"/>
      <w:pPr>
        <w:ind w:left="3932" w:hanging="420"/>
      </w:pPr>
    </w:lvl>
    <w:lvl w:ilvl="6" w:tentative="0">
      <w:start w:val="1"/>
      <w:numFmt w:val="decimal"/>
      <w:lvlText w:val="%7."/>
      <w:lvlJc w:val="left"/>
      <w:pPr>
        <w:ind w:left="4352" w:hanging="420"/>
      </w:pPr>
    </w:lvl>
    <w:lvl w:ilvl="7" w:tentative="0">
      <w:start w:val="1"/>
      <w:numFmt w:val="lowerLetter"/>
      <w:lvlText w:val="%8)"/>
      <w:lvlJc w:val="left"/>
      <w:pPr>
        <w:ind w:left="4772" w:hanging="420"/>
      </w:pPr>
    </w:lvl>
    <w:lvl w:ilvl="8" w:tentative="0">
      <w:start w:val="1"/>
      <w:numFmt w:val="lowerRoman"/>
      <w:lvlText w:val="%9."/>
      <w:lvlJc w:val="right"/>
      <w:pPr>
        <w:ind w:left="5192" w:hanging="420"/>
      </w:pPr>
    </w:lvl>
  </w:abstractNum>
  <w:abstractNum w:abstractNumId="31">
    <w:nsid w:val="48B20C66"/>
    <w:multiLevelType w:val="multilevel"/>
    <w:tmpl w:val="48B20C66"/>
    <w:lvl w:ilvl="0" w:tentative="0">
      <w:start w:val="1"/>
      <w:numFmt w:val="decimal"/>
      <w:lvlText w:val="(%1)"/>
      <w:lvlJc w:val="left"/>
      <w:pPr>
        <w:ind w:left="1412" w:hanging="420"/>
      </w:pPr>
      <w:rPr>
        <w:rFonts w:hint="eastAsia"/>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32">
    <w:nsid w:val="4ABE1BD6"/>
    <w:multiLevelType w:val="multilevel"/>
    <w:tmpl w:val="4ABE1BD6"/>
    <w:lvl w:ilvl="0" w:tentative="0">
      <w:start w:val="1"/>
      <w:numFmt w:val="decimal"/>
      <w:lvlText w:val="(%1)"/>
      <w:lvlJc w:val="left"/>
      <w:pPr>
        <w:ind w:left="2040" w:hanging="420"/>
      </w:pPr>
      <w:rPr>
        <w:rFonts w:hint="default" w:ascii="Times New Roman" w:hAnsi="Times New Roman" w:cs="Times New Roman"/>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abstractNum w:abstractNumId="33">
    <w:nsid w:val="4D684626"/>
    <w:multiLevelType w:val="multilevel"/>
    <w:tmpl w:val="4D684626"/>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34">
    <w:nsid w:val="4DF8730A"/>
    <w:multiLevelType w:val="multilevel"/>
    <w:tmpl w:val="4DF8730A"/>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5">
    <w:nsid w:val="53DE423C"/>
    <w:multiLevelType w:val="multilevel"/>
    <w:tmpl w:val="53DE423C"/>
    <w:lvl w:ilvl="0" w:tentative="0">
      <w:start w:val="1"/>
      <w:numFmt w:val="decimal"/>
      <w:lvlText w:val="(%1)"/>
      <w:lvlJc w:val="left"/>
      <w:pPr>
        <w:ind w:left="1378" w:hanging="420"/>
      </w:pPr>
      <w:rPr>
        <w:rFonts w:hint="default"/>
      </w:rPr>
    </w:lvl>
    <w:lvl w:ilvl="1" w:tentative="0">
      <w:start w:val="1"/>
      <w:numFmt w:val="lowerLetter"/>
      <w:lvlText w:val="%2)"/>
      <w:lvlJc w:val="left"/>
      <w:pPr>
        <w:ind w:left="1798" w:hanging="420"/>
      </w:pPr>
    </w:lvl>
    <w:lvl w:ilvl="2" w:tentative="0">
      <w:start w:val="1"/>
      <w:numFmt w:val="lowerRoman"/>
      <w:lvlText w:val="%3."/>
      <w:lvlJc w:val="right"/>
      <w:pPr>
        <w:ind w:left="2218" w:hanging="420"/>
      </w:pPr>
    </w:lvl>
    <w:lvl w:ilvl="3" w:tentative="0">
      <w:start w:val="1"/>
      <w:numFmt w:val="decimal"/>
      <w:lvlText w:val="%4."/>
      <w:lvlJc w:val="left"/>
      <w:pPr>
        <w:ind w:left="2638" w:hanging="420"/>
      </w:pPr>
    </w:lvl>
    <w:lvl w:ilvl="4" w:tentative="0">
      <w:start w:val="1"/>
      <w:numFmt w:val="lowerLetter"/>
      <w:lvlText w:val="%5)"/>
      <w:lvlJc w:val="left"/>
      <w:pPr>
        <w:ind w:left="3058" w:hanging="420"/>
      </w:pPr>
    </w:lvl>
    <w:lvl w:ilvl="5" w:tentative="0">
      <w:start w:val="1"/>
      <w:numFmt w:val="lowerRoman"/>
      <w:lvlText w:val="%6."/>
      <w:lvlJc w:val="right"/>
      <w:pPr>
        <w:ind w:left="3478" w:hanging="420"/>
      </w:pPr>
    </w:lvl>
    <w:lvl w:ilvl="6" w:tentative="0">
      <w:start w:val="1"/>
      <w:numFmt w:val="decimal"/>
      <w:lvlText w:val="%7."/>
      <w:lvlJc w:val="left"/>
      <w:pPr>
        <w:ind w:left="3898" w:hanging="420"/>
      </w:pPr>
    </w:lvl>
    <w:lvl w:ilvl="7" w:tentative="0">
      <w:start w:val="1"/>
      <w:numFmt w:val="lowerLetter"/>
      <w:lvlText w:val="%8)"/>
      <w:lvlJc w:val="left"/>
      <w:pPr>
        <w:ind w:left="4318" w:hanging="420"/>
      </w:pPr>
    </w:lvl>
    <w:lvl w:ilvl="8" w:tentative="0">
      <w:start w:val="1"/>
      <w:numFmt w:val="lowerRoman"/>
      <w:lvlText w:val="%9."/>
      <w:lvlJc w:val="right"/>
      <w:pPr>
        <w:ind w:left="4738" w:hanging="420"/>
      </w:pPr>
    </w:lvl>
  </w:abstractNum>
  <w:abstractNum w:abstractNumId="36">
    <w:nsid w:val="580E516B"/>
    <w:multiLevelType w:val="multilevel"/>
    <w:tmpl w:val="580E516B"/>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7">
    <w:nsid w:val="5A1E0763"/>
    <w:multiLevelType w:val="multilevel"/>
    <w:tmpl w:val="5A1E0763"/>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hint="eastAsia"/>
      </w:rPr>
    </w:lvl>
    <w:lvl w:ilvl="2" w:tentative="0">
      <w:start w:val="1"/>
      <w:numFmt w:val="lowerRoman"/>
      <w:lvlText w:val="%3."/>
      <w:lvlJc w:val="right"/>
      <w:pPr>
        <w:ind w:left="2880" w:hanging="420"/>
      </w:pPr>
      <w:rPr>
        <w:rFonts w:hint="eastAsia"/>
      </w:rPr>
    </w:lvl>
    <w:lvl w:ilvl="3" w:tentative="0">
      <w:start w:val="1"/>
      <w:numFmt w:val="decimal"/>
      <w:lvlText w:val="%4."/>
      <w:lvlJc w:val="left"/>
      <w:pPr>
        <w:ind w:left="3300" w:hanging="420"/>
      </w:pPr>
      <w:rPr>
        <w:rFonts w:hint="eastAsia"/>
      </w:rPr>
    </w:lvl>
    <w:lvl w:ilvl="4" w:tentative="0">
      <w:start w:val="1"/>
      <w:numFmt w:val="lowerLetter"/>
      <w:lvlText w:val="%5)"/>
      <w:lvlJc w:val="left"/>
      <w:pPr>
        <w:ind w:left="3720" w:hanging="420"/>
      </w:pPr>
      <w:rPr>
        <w:rFonts w:hint="eastAsia"/>
      </w:rPr>
    </w:lvl>
    <w:lvl w:ilvl="5" w:tentative="0">
      <w:start w:val="1"/>
      <w:numFmt w:val="lowerRoman"/>
      <w:lvlText w:val="%6."/>
      <w:lvlJc w:val="right"/>
      <w:pPr>
        <w:ind w:left="4140" w:hanging="420"/>
      </w:pPr>
      <w:rPr>
        <w:rFonts w:hint="eastAsia"/>
      </w:rPr>
    </w:lvl>
    <w:lvl w:ilvl="6" w:tentative="0">
      <w:start w:val="1"/>
      <w:numFmt w:val="decimal"/>
      <w:lvlText w:val="%7."/>
      <w:lvlJc w:val="left"/>
      <w:pPr>
        <w:ind w:left="4560" w:hanging="420"/>
      </w:pPr>
      <w:rPr>
        <w:rFonts w:hint="eastAsia"/>
      </w:rPr>
    </w:lvl>
    <w:lvl w:ilvl="7" w:tentative="0">
      <w:start w:val="1"/>
      <w:numFmt w:val="lowerLetter"/>
      <w:lvlText w:val="%8)"/>
      <w:lvlJc w:val="left"/>
      <w:pPr>
        <w:ind w:left="4980" w:hanging="420"/>
      </w:pPr>
      <w:rPr>
        <w:rFonts w:hint="eastAsia"/>
      </w:rPr>
    </w:lvl>
    <w:lvl w:ilvl="8" w:tentative="0">
      <w:start w:val="1"/>
      <w:numFmt w:val="lowerRoman"/>
      <w:lvlText w:val="%9."/>
      <w:lvlJc w:val="right"/>
      <w:pPr>
        <w:ind w:left="5400" w:hanging="420"/>
      </w:pPr>
      <w:rPr>
        <w:rFonts w:hint="eastAsia"/>
      </w:rPr>
    </w:lvl>
  </w:abstractNum>
  <w:abstractNum w:abstractNumId="38">
    <w:nsid w:val="5E5E1895"/>
    <w:multiLevelType w:val="multilevel"/>
    <w:tmpl w:val="5E5E1895"/>
    <w:lvl w:ilvl="0" w:tentative="0">
      <w:start w:val="1"/>
      <w:numFmt w:val="decimal"/>
      <w:lvlText w:val="%1"/>
      <w:lvlJc w:val="left"/>
      <w:pPr>
        <w:tabs>
          <w:tab w:val="left" w:pos="960"/>
        </w:tabs>
        <w:ind w:left="960" w:hanging="960"/>
      </w:pPr>
      <w:rPr>
        <w:rFonts w:hint="default"/>
        <w:b/>
      </w:rPr>
    </w:lvl>
    <w:lvl w:ilvl="1" w:tentative="0">
      <w:start w:val="1"/>
      <w:numFmt w:val="decimal"/>
      <w:lvlRestart w:val="0"/>
      <w:lvlText w:val="%1.%2"/>
      <w:lvlJc w:val="left"/>
      <w:pPr>
        <w:tabs>
          <w:tab w:val="left" w:pos="1232"/>
        </w:tabs>
        <w:ind w:left="1232" w:hanging="567"/>
      </w:pPr>
      <w:rPr>
        <w:rFonts w:hint="eastAsia"/>
        <w:b w:val="0"/>
        <w:i w:val="0"/>
        <w:caps w:val="0"/>
        <w:color w:val="auto"/>
        <w:u w:val="none"/>
      </w:rPr>
    </w:lvl>
    <w:lvl w:ilvl="2" w:tentative="0">
      <w:start w:val="1"/>
      <w:numFmt w:val="lowerLetter"/>
      <w:lvlRestart w:val="0"/>
      <w:pStyle w:val="122"/>
      <w:lvlText w:val="(%3)"/>
      <w:lvlJc w:val="left"/>
      <w:pPr>
        <w:tabs>
          <w:tab w:val="left" w:pos="1511"/>
        </w:tabs>
        <w:ind w:left="1511" w:hanging="420"/>
      </w:pPr>
      <w:rPr>
        <w:rFonts w:hint="default"/>
        <w:b w:val="0"/>
        <w:i w:val="0"/>
        <w:caps w:val="0"/>
        <w:color w:val="auto"/>
        <w:u w:val="none"/>
      </w:rPr>
    </w:lvl>
    <w:lvl w:ilvl="3" w:tentative="0">
      <w:start w:val="1"/>
      <w:numFmt w:val="lowerRoman"/>
      <w:pStyle w:val="135"/>
      <w:lvlText w:val="(%4)"/>
      <w:lvlJc w:val="left"/>
      <w:pPr>
        <w:tabs>
          <w:tab w:val="left" w:pos="2236"/>
        </w:tabs>
        <w:ind w:left="2236" w:hanging="720"/>
      </w:pPr>
      <w:rPr>
        <w:rFonts w:hint="default" w:ascii="Times New Roman" w:hAnsi="Times New Roman" w:cs="Times New Roman"/>
        <w:b w:val="0"/>
        <w:i w:val="0"/>
        <w:caps w:val="0"/>
        <w:color w:val="auto"/>
        <w:sz w:val="24"/>
        <w:szCs w:val="24"/>
        <w:u w:val="none"/>
      </w:rPr>
    </w:lvl>
    <w:lvl w:ilvl="4" w:tentative="0">
      <w:start w:val="1"/>
      <w:numFmt w:val="decimal"/>
      <w:lvlText w:val="%1.%2.%3.%4.%5"/>
      <w:lvlJc w:val="left"/>
      <w:pPr>
        <w:tabs>
          <w:tab w:val="left" w:pos="2791"/>
        </w:tabs>
        <w:ind w:left="2791" w:hanging="850"/>
      </w:pPr>
      <w:rPr>
        <w:rFonts w:hint="eastAsia"/>
        <w:b w:val="0"/>
        <w:i w:val="0"/>
        <w:caps w:val="0"/>
        <w:color w:val="auto"/>
        <w:u w:val="none"/>
      </w:rPr>
    </w:lvl>
    <w:lvl w:ilvl="5" w:tentative="0">
      <w:start w:val="1"/>
      <w:numFmt w:val="decimal"/>
      <w:lvlText w:val="%1.%2.%3.%4.%5.%6"/>
      <w:lvlJc w:val="left"/>
      <w:pPr>
        <w:tabs>
          <w:tab w:val="left" w:pos="3500"/>
        </w:tabs>
        <w:ind w:left="3500" w:hanging="1134"/>
      </w:pPr>
      <w:rPr>
        <w:rFonts w:hint="eastAsia"/>
        <w:b w:val="0"/>
        <w:i w:val="0"/>
        <w:caps w:val="0"/>
        <w:color w:val="auto"/>
        <w:u w:val="none"/>
      </w:rPr>
    </w:lvl>
    <w:lvl w:ilvl="6" w:tentative="0">
      <w:start w:val="1"/>
      <w:numFmt w:val="decimal"/>
      <w:lvlText w:val="%1.%2.%3.%4.%5.%6.%7"/>
      <w:lvlJc w:val="left"/>
      <w:pPr>
        <w:tabs>
          <w:tab w:val="left" w:pos="4067"/>
        </w:tabs>
        <w:ind w:left="4067" w:hanging="1276"/>
      </w:pPr>
      <w:rPr>
        <w:rFonts w:hint="eastAsia"/>
        <w:b w:val="0"/>
        <w:i w:val="0"/>
        <w:caps w:val="0"/>
        <w:color w:val="auto"/>
        <w:u w:val="none"/>
      </w:rPr>
    </w:lvl>
    <w:lvl w:ilvl="7" w:tentative="0">
      <w:start w:val="1"/>
      <w:numFmt w:val="decimal"/>
      <w:lvlText w:val="%1.%2.%3.%4.%5.%6.%7.%8"/>
      <w:lvlJc w:val="left"/>
      <w:pPr>
        <w:tabs>
          <w:tab w:val="left" w:pos="4634"/>
        </w:tabs>
        <w:ind w:left="4634" w:hanging="1418"/>
      </w:pPr>
      <w:rPr>
        <w:rFonts w:hint="eastAsia"/>
        <w:b w:val="0"/>
        <w:i w:val="0"/>
        <w:caps w:val="0"/>
        <w:color w:val="auto"/>
        <w:u w:val="none"/>
      </w:rPr>
    </w:lvl>
    <w:lvl w:ilvl="8" w:tentative="0">
      <w:start w:val="1"/>
      <w:numFmt w:val="decimal"/>
      <w:lvlText w:val="%1.%2.%3.%4.%5.%6.%7.%8.%9"/>
      <w:lvlJc w:val="left"/>
      <w:pPr>
        <w:tabs>
          <w:tab w:val="left" w:pos="5342"/>
        </w:tabs>
        <w:ind w:left="5342" w:hanging="1700"/>
      </w:pPr>
      <w:rPr>
        <w:rFonts w:hint="eastAsia"/>
        <w:b w:val="0"/>
        <w:i w:val="0"/>
        <w:caps w:val="0"/>
        <w:color w:val="auto"/>
        <w:u w:val="none"/>
      </w:rPr>
    </w:lvl>
  </w:abstractNum>
  <w:abstractNum w:abstractNumId="39">
    <w:nsid w:val="60BC54E3"/>
    <w:multiLevelType w:val="multilevel"/>
    <w:tmpl w:val="60BC54E3"/>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40">
    <w:nsid w:val="613752D6"/>
    <w:multiLevelType w:val="multilevel"/>
    <w:tmpl w:val="613752D6"/>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41">
    <w:nsid w:val="64F14175"/>
    <w:multiLevelType w:val="multilevel"/>
    <w:tmpl w:val="64F14175"/>
    <w:lvl w:ilvl="0" w:tentative="0">
      <w:start w:val="1"/>
      <w:numFmt w:val="decimal"/>
      <w:lvlText w:val="(%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42">
    <w:nsid w:val="67591DF5"/>
    <w:multiLevelType w:val="multilevel"/>
    <w:tmpl w:val="67591DF5"/>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43">
    <w:nsid w:val="6C345800"/>
    <w:multiLevelType w:val="multilevel"/>
    <w:tmpl w:val="6C345800"/>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44">
    <w:nsid w:val="6D4F48C5"/>
    <w:multiLevelType w:val="multilevel"/>
    <w:tmpl w:val="6D4F48C5"/>
    <w:lvl w:ilvl="0" w:tentative="0">
      <w:start w:val="1"/>
      <w:numFmt w:val="decimal"/>
      <w:lvlText w:val="(%1)"/>
      <w:lvlJc w:val="left"/>
      <w:pPr>
        <w:ind w:left="1412" w:hanging="420"/>
      </w:pPr>
      <w:rPr>
        <w:rFonts w:hint="default" w:ascii="Times New Roman" w:hAnsi="Times New Roman" w:cs="Times New Roman"/>
        <w:b w:val="0"/>
        <w:i w:val="0"/>
        <w:color w:val="auto"/>
        <w:sz w:val="24"/>
        <w:szCs w:val="24"/>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45">
    <w:nsid w:val="75FC0B2E"/>
    <w:multiLevelType w:val="multilevel"/>
    <w:tmpl w:val="75FC0B2E"/>
    <w:lvl w:ilvl="0" w:tentative="0">
      <w:start w:val="1"/>
      <w:numFmt w:val="decimal"/>
      <w:lvlText w:val="(%1)"/>
      <w:lvlJc w:val="left"/>
      <w:pPr>
        <w:ind w:left="1412" w:hanging="420"/>
      </w:pPr>
      <w:rPr>
        <w:rFonts w:hint="default"/>
        <w:b w:val="0"/>
        <w:color w:val="auto"/>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46">
    <w:nsid w:val="7B216924"/>
    <w:multiLevelType w:val="multilevel"/>
    <w:tmpl w:val="7B216924"/>
    <w:lvl w:ilvl="0" w:tentative="0">
      <w:start w:val="1"/>
      <w:numFmt w:val="decimal"/>
      <w:lvlText w:val="(%1)"/>
      <w:lvlJc w:val="left"/>
      <w:pPr>
        <w:ind w:left="2121" w:hanging="420"/>
      </w:pPr>
      <w:rPr>
        <w:rFonts w:hint="eastAsia"/>
        <w:b w:val="0"/>
        <w:color w:val="auto"/>
        <w:sz w:val="24"/>
        <w:szCs w:val="32"/>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47">
    <w:nsid w:val="7B6F15B0"/>
    <w:multiLevelType w:val="multilevel"/>
    <w:tmpl w:val="7B6F15B0"/>
    <w:lvl w:ilvl="0" w:tentative="0">
      <w:start w:val="1"/>
      <w:numFmt w:val="decimal"/>
      <w:pStyle w:val="68"/>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67"/>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69"/>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70"/>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71"/>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73"/>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72"/>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76"/>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75"/>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48">
    <w:nsid w:val="7FF4074A"/>
    <w:multiLevelType w:val="multilevel"/>
    <w:tmpl w:val="7FF4074A"/>
    <w:lvl w:ilvl="0" w:tentative="0">
      <w:start w:val="1"/>
      <w:numFmt w:val="decimal"/>
      <w:lvlText w:val="(%1)"/>
      <w:lvlJc w:val="left"/>
      <w:pPr>
        <w:ind w:left="2040" w:hanging="420"/>
      </w:pPr>
      <w:rPr>
        <w:rFonts w:hint="eastAsia"/>
        <w:b w:val="0"/>
        <w:color w:val="auto"/>
      </w:rPr>
    </w:lvl>
    <w:lvl w:ilvl="1" w:tentative="0">
      <w:start w:val="1"/>
      <w:numFmt w:val="lowerLetter"/>
      <w:lvlText w:val="%2)"/>
      <w:lvlJc w:val="left"/>
      <w:pPr>
        <w:ind w:left="2460" w:hanging="420"/>
      </w:pPr>
    </w:lvl>
    <w:lvl w:ilvl="2" w:tentative="0">
      <w:start w:val="1"/>
      <w:numFmt w:val="lowerRoman"/>
      <w:lvlText w:val="%3."/>
      <w:lvlJc w:val="right"/>
      <w:pPr>
        <w:ind w:left="2880" w:hanging="420"/>
      </w:pPr>
    </w:lvl>
    <w:lvl w:ilvl="3" w:tentative="0">
      <w:start w:val="1"/>
      <w:numFmt w:val="decimal"/>
      <w:lvlText w:val="%4."/>
      <w:lvlJc w:val="left"/>
      <w:pPr>
        <w:ind w:left="3300" w:hanging="420"/>
      </w:pPr>
    </w:lvl>
    <w:lvl w:ilvl="4" w:tentative="0">
      <w:start w:val="1"/>
      <w:numFmt w:val="lowerLetter"/>
      <w:lvlText w:val="%5)"/>
      <w:lvlJc w:val="left"/>
      <w:pPr>
        <w:ind w:left="3720" w:hanging="420"/>
      </w:pPr>
    </w:lvl>
    <w:lvl w:ilvl="5" w:tentative="0">
      <w:start w:val="1"/>
      <w:numFmt w:val="lowerRoman"/>
      <w:lvlText w:val="%6."/>
      <w:lvlJc w:val="right"/>
      <w:pPr>
        <w:ind w:left="4140" w:hanging="420"/>
      </w:pPr>
    </w:lvl>
    <w:lvl w:ilvl="6" w:tentative="0">
      <w:start w:val="1"/>
      <w:numFmt w:val="decimal"/>
      <w:lvlText w:val="%7."/>
      <w:lvlJc w:val="left"/>
      <w:pPr>
        <w:ind w:left="4560" w:hanging="420"/>
      </w:pPr>
    </w:lvl>
    <w:lvl w:ilvl="7" w:tentative="0">
      <w:start w:val="1"/>
      <w:numFmt w:val="lowerLetter"/>
      <w:lvlText w:val="%8)"/>
      <w:lvlJc w:val="left"/>
      <w:pPr>
        <w:ind w:left="4980" w:hanging="420"/>
      </w:pPr>
    </w:lvl>
    <w:lvl w:ilvl="8" w:tentative="0">
      <w:start w:val="1"/>
      <w:numFmt w:val="lowerRoman"/>
      <w:lvlText w:val="%9."/>
      <w:lvlJc w:val="right"/>
      <w:pPr>
        <w:ind w:left="5400" w:hanging="420"/>
      </w:pPr>
    </w:lvl>
  </w:abstractNum>
  <w:num w:numId="1">
    <w:abstractNumId w:val="1"/>
  </w:num>
  <w:num w:numId="2">
    <w:abstractNumId w:val="0"/>
  </w:num>
  <w:num w:numId="3">
    <w:abstractNumId w:val="47"/>
  </w:num>
  <w:num w:numId="4">
    <w:abstractNumId w:val="2"/>
  </w:num>
  <w:num w:numId="5">
    <w:abstractNumId w:val="38"/>
  </w:num>
  <w:num w:numId="6">
    <w:abstractNumId w:val="19"/>
  </w:num>
  <w:num w:numId="7">
    <w:abstractNumId w:val="15"/>
  </w:num>
  <w:num w:numId="8">
    <w:abstractNumId w:val="30"/>
  </w:num>
  <w:num w:numId="9">
    <w:abstractNumId w:val="14"/>
  </w:num>
  <w:num w:numId="10">
    <w:abstractNumId w:val="16"/>
  </w:num>
  <w:num w:numId="11">
    <w:abstractNumId w:val="27"/>
  </w:num>
  <w:num w:numId="12">
    <w:abstractNumId w:val="12"/>
  </w:num>
  <w:num w:numId="13">
    <w:abstractNumId w:val="25"/>
  </w:num>
  <w:num w:numId="14">
    <w:abstractNumId w:val="11"/>
  </w:num>
  <w:num w:numId="15">
    <w:abstractNumId w:val="35"/>
  </w:num>
  <w:num w:numId="16">
    <w:abstractNumId w:val="41"/>
  </w:num>
  <w:num w:numId="17">
    <w:abstractNumId w:val="42"/>
  </w:num>
  <w:num w:numId="18">
    <w:abstractNumId w:val="20"/>
  </w:num>
  <w:num w:numId="19">
    <w:abstractNumId w:val="39"/>
  </w:num>
  <w:num w:numId="20">
    <w:abstractNumId w:val="33"/>
  </w:num>
  <w:num w:numId="21">
    <w:abstractNumId w:val="43"/>
  </w:num>
  <w:num w:numId="22">
    <w:abstractNumId w:val="7"/>
  </w:num>
  <w:num w:numId="23">
    <w:abstractNumId w:val="24"/>
  </w:num>
  <w:num w:numId="24">
    <w:abstractNumId w:val="44"/>
  </w:num>
  <w:num w:numId="25">
    <w:abstractNumId w:val="2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48"/>
  </w:num>
  <w:num w:numId="29">
    <w:abstractNumId w:val="6"/>
  </w:num>
  <w:num w:numId="30">
    <w:abstractNumId w:val="17"/>
  </w:num>
  <w:num w:numId="31">
    <w:abstractNumId w:val="45"/>
  </w:num>
  <w:num w:numId="32">
    <w:abstractNumId w:val="37"/>
  </w:num>
  <w:num w:numId="33">
    <w:abstractNumId w:val="32"/>
  </w:num>
  <w:num w:numId="34">
    <w:abstractNumId w:val="9"/>
  </w:num>
  <w:num w:numId="35">
    <w:abstractNumId w:val="22"/>
  </w:num>
  <w:num w:numId="36">
    <w:abstractNumId w:val="31"/>
  </w:num>
  <w:num w:numId="37">
    <w:abstractNumId w:val="28"/>
  </w:num>
  <w:num w:numId="38">
    <w:abstractNumId w:val="4"/>
  </w:num>
  <w:num w:numId="39">
    <w:abstractNumId w:val="5"/>
  </w:num>
  <w:num w:numId="40">
    <w:abstractNumId w:val="21"/>
  </w:num>
  <w:num w:numId="41">
    <w:abstractNumId w:val="18"/>
  </w:num>
  <w:num w:numId="42">
    <w:abstractNumId w:val="10"/>
  </w:num>
  <w:num w:numId="43">
    <w:abstractNumId w:val="13"/>
  </w:num>
  <w:num w:numId="44">
    <w:abstractNumId w:val="36"/>
  </w:num>
  <w:num w:numId="45">
    <w:abstractNumId w:val="29"/>
  </w:num>
  <w:num w:numId="46">
    <w:abstractNumId w:val="40"/>
  </w:num>
  <w:num w:numId="47">
    <w:abstractNumId w:val="8"/>
  </w:num>
  <w:num w:numId="48">
    <w:abstractNumId w:val="3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5D5"/>
    <w:rsid w:val="00000050"/>
    <w:rsid w:val="0000007D"/>
    <w:rsid w:val="00000365"/>
    <w:rsid w:val="00000392"/>
    <w:rsid w:val="0000043A"/>
    <w:rsid w:val="0000046D"/>
    <w:rsid w:val="00000523"/>
    <w:rsid w:val="00000660"/>
    <w:rsid w:val="000006B1"/>
    <w:rsid w:val="000008D7"/>
    <w:rsid w:val="00000B66"/>
    <w:rsid w:val="00000BE7"/>
    <w:rsid w:val="00000C2B"/>
    <w:rsid w:val="00000E13"/>
    <w:rsid w:val="00001641"/>
    <w:rsid w:val="000017E1"/>
    <w:rsid w:val="00001826"/>
    <w:rsid w:val="0000193E"/>
    <w:rsid w:val="00001BF1"/>
    <w:rsid w:val="00001CA7"/>
    <w:rsid w:val="00001D1F"/>
    <w:rsid w:val="00001F85"/>
    <w:rsid w:val="00002265"/>
    <w:rsid w:val="000023A2"/>
    <w:rsid w:val="00002495"/>
    <w:rsid w:val="00002795"/>
    <w:rsid w:val="00002D94"/>
    <w:rsid w:val="0000305A"/>
    <w:rsid w:val="000035B6"/>
    <w:rsid w:val="000035FA"/>
    <w:rsid w:val="00003602"/>
    <w:rsid w:val="0000385A"/>
    <w:rsid w:val="00003C52"/>
    <w:rsid w:val="00003D4B"/>
    <w:rsid w:val="00003E9E"/>
    <w:rsid w:val="00003FAA"/>
    <w:rsid w:val="0000402F"/>
    <w:rsid w:val="00004176"/>
    <w:rsid w:val="0000422B"/>
    <w:rsid w:val="000043B1"/>
    <w:rsid w:val="0000465D"/>
    <w:rsid w:val="00004D44"/>
    <w:rsid w:val="00004DF5"/>
    <w:rsid w:val="00005186"/>
    <w:rsid w:val="000051B7"/>
    <w:rsid w:val="000051CA"/>
    <w:rsid w:val="00005394"/>
    <w:rsid w:val="000055F6"/>
    <w:rsid w:val="00005713"/>
    <w:rsid w:val="000058E9"/>
    <w:rsid w:val="00005DBC"/>
    <w:rsid w:val="00006271"/>
    <w:rsid w:val="000062BE"/>
    <w:rsid w:val="00006493"/>
    <w:rsid w:val="0000657C"/>
    <w:rsid w:val="00006D1C"/>
    <w:rsid w:val="00006DA5"/>
    <w:rsid w:val="00006DA7"/>
    <w:rsid w:val="00006E37"/>
    <w:rsid w:val="00007045"/>
    <w:rsid w:val="000073AA"/>
    <w:rsid w:val="000073C1"/>
    <w:rsid w:val="0000749A"/>
    <w:rsid w:val="0000759C"/>
    <w:rsid w:val="000075F5"/>
    <w:rsid w:val="00007740"/>
    <w:rsid w:val="000079CB"/>
    <w:rsid w:val="00007AF6"/>
    <w:rsid w:val="00007B7E"/>
    <w:rsid w:val="00007BEB"/>
    <w:rsid w:val="00007C35"/>
    <w:rsid w:val="00007C3B"/>
    <w:rsid w:val="00007D43"/>
    <w:rsid w:val="00007DE5"/>
    <w:rsid w:val="00007EEC"/>
    <w:rsid w:val="00007FE2"/>
    <w:rsid w:val="00010340"/>
    <w:rsid w:val="00010453"/>
    <w:rsid w:val="0001051B"/>
    <w:rsid w:val="00010601"/>
    <w:rsid w:val="0001082D"/>
    <w:rsid w:val="00010963"/>
    <w:rsid w:val="00010B04"/>
    <w:rsid w:val="00010B5F"/>
    <w:rsid w:val="00010DAA"/>
    <w:rsid w:val="00010EF8"/>
    <w:rsid w:val="00010FCB"/>
    <w:rsid w:val="0001130D"/>
    <w:rsid w:val="000114CF"/>
    <w:rsid w:val="00011675"/>
    <w:rsid w:val="000118A3"/>
    <w:rsid w:val="000118AE"/>
    <w:rsid w:val="00011992"/>
    <w:rsid w:val="00011A52"/>
    <w:rsid w:val="00011A6B"/>
    <w:rsid w:val="00011CFF"/>
    <w:rsid w:val="00011D23"/>
    <w:rsid w:val="00011F45"/>
    <w:rsid w:val="0001207B"/>
    <w:rsid w:val="0001229D"/>
    <w:rsid w:val="000124DC"/>
    <w:rsid w:val="00012679"/>
    <w:rsid w:val="00012950"/>
    <w:rsid w:val="000129E6"/>
    <w:rsid w:val="00012D0F"/>
    <w:rsid w:val="00012F9D"/>
    <w:rsid w:val="00013124"/>
    <w:rsid w:val="0001340A"/>
    <w:rsid w:val="0001385A"/>
    <w:rsid w:val="0001386C"/>
    <w:rsid w:val="0001394D"/>
    <w:rsid w:val="00013A68"/>
    <w:rsid w:val="00013C7F"/>
    <w:rsid w:val="00013C9D"/>
    <w:rsid w:val="00013CAC"/>
    <w:rsid w:val="00013D68"/>
    <w:rsid w:val="00013DA2"/>
    <w:rsid w:val="00013DF0"/>
    <w:rsid w:val="000141D6"/>
    <w:rsid w:val="00014347"/>
    <w:rsid w:val="000143E6"/>
    <w:rsid w:val="00014457"/>
    <w:rsid w:val="000145A8"/>
    <w:rsid w:val="000148E1"/>
    <w:rsid w:val="00014A6D"/>
    <w:rsid w:val="00014AE2"/>
    <w:rsid w:val="00014AF9"/>
    <w:rsid w:val="00014B44"/>
    <w:rsid w:val="00014BCE"/>
    <w:rsid w:val="00014E12"/>
    <w:rsid w:val="00014E2E"/>
    <w:rsid w:val="00014F76"/>
    <w:rsid w:val="00015410"/>
    <w:rsid w:val="00015602"/>
    <w:rsid w:val="00015869"/>
    <w:rsid w:val="000159D3"/>
    <w:rsid w:val="00015A5B"/>
    <w:rsid w:val="00015B80"/>
    <w:rsid w:val="00016018"/>
    <w:rsid w:val="000161DE"/>
    <w:rsid w:val="0001620A"/>
    <w:rsid w:val="000162A9"/>
    <w:rsid w:val="00016333"/>
    <w:rsid w:val="00016512"/>
    <w:rsid w:val="00016550"/>
    <w:rsid w:val="00016596"/>
    <w:rsid w:val="0001672E"/>
    <w:rsid w:val="00016899"/>
    <w:rsid w:val="00016BAD"/>
    <w:rsid w:val="00016CD4"/>
    <w:rsid w:val="00016D05"/>
    <w:rsid w:val="00016EA8"/>
    <w:rsid w:val="00016FBF"/>
    <w:rsid w:val="000171C1"/>
    <w:rsid w:val="00017246"/>
    <w:rsid w:val="00017433"/>
    <w:rsid w:val="000174D1"/>
    <w:rsid w:val="000174EC"/>
    <w:rsid w:val="0001777D"/>
    <w:rsid w:val="00017798"/>
    <w:rsid w:val="000177C6"/>
    <w:rsid w:val="000177E3"/>
    <w:rsid w:val="00017820"/>
    <w:rsid w:val="00017A8B"/>
    <w:rsid w:val="00017DF2"/>
    <w:rsid w:val="00017F61"/>
    <w:rsid w:val="00017FAC"/>
    <w:rsid w:val="000201E9"/>
    <w:rsid w:val="00020687"/>
    <w:rsid w:val="00020850"/>
    <w:rsid w:val="00020851"/>
    <w:rsid w:val="0002087D"/>
    <w:rsid w:val="00020A1C"/>
    <w:rsid w:val="00020D2D"/>
    <w:rsid w:val="00020D65"/>
    <w:rsid w:val="00020F2D"/>
    <w:rsid w:val="00020F7F"/>
    <w:rsid w:val="00020F8B"/>
    <w:rsid w:val="00020FA4"/>
    <w:rsid w:val="000212B5"/>
    <w:rsid w:val="00021554"/>
    <w:rsid w:val="00021816"/>
    <w:rsid w:val="00021A63"/>
    <w:rsid w:val="00021B19"/>
    <w:rsid w:val="00021DEB"/>
    <w:rsid w:val="00021DFE"/>
    <w:rsid w:val="00021ED8"/>
    <w:rsid w:val="0002204A"/>
    <w:rsid w:val="00022183"/>
    <w:rsid w:val="00022449"/>
    <w:rsid w:val="00022543"/>
    <w:rsid w:val="000227EA"/>
    <w:rsid w:val="00022832"/>
    <w:rsid w:val="000228FF"/>
    <w:rsid w:val="00022C84"/>
    <w:rsid w:val="00022D0E"/>
    <w:rsid w:val="00022E77"/>
    <w:rsid w:val="00022F76"/>
    <w:rsid w:val="00022FC6"/>
    <w:rsid w:val="00022FE8"/>
    <w:rsid w:val="00023196"/>
    <w:rsid w:val="000232B6"/>
    <w:rsid w:val="00023316"/>
    <w:rsid w:val="000233FE"/>
    <w:rsid w:val="000236E9"/>
    <w:rsid w:val="00023884"/>
    <w:rsid w:val="00023AE2"/>
    <w:rsid w:val="00023BF9"/>
    <w:rsid w:val="00023CD1"/>
    <w:rsid w:val="00023E5A"/>
    <w:rsid w:val="000240BC"/>
    <w:rsid w:val="0002413B"/>
    <w:rsid w:val="000242DD"/>
    <w:rsid w:val="00024468"/>
    <w:rsid w:val="000244B9"/>
    <w:rsid w:val="00024603"/>
    <w:rsid w:val="00024850"/>
    <w:rsid w:val="00024967"/>
    <w:rsid w:val="000249CE"/>
    <w:rsid w:val="00024C56"/>
    <w:rsid w:val="00024D67"/>
    <w:rsid w:val="00024EF3"/>
    <w:rsid w:val="00024FAB"/>
    <w:rsid w:val="00025036"/>
    <w:rsid w:val="0002517B"/>
    <w:rsid w:val="0002518F"/>
    <w:rsid w:val="0002531E"/>
    <w:rsid w:val="0002536A"/>
    <w:rsid w:val="00025B2D"/>
    <w:rsid w:val="00025B4D"/>
    <w:rsid w:val="00025BD3"/>
    <w:rsid w:val="00025C97"/>
    <w:rsid w:val="00025EF0"/>
    <w:rsid w:val="000262E9"/>
    <w:rsid w:val="000268FB"/>
    <w:rsid w:val="0002699F"/>
    <w:rsid w:val="000269FE"/>
    <w:rsid w:val="00026C05"/>
    <w:rsid w:val="0002705F"/>
    <w:rsid w:val="00027175"/>
    <w:rsid w:val="000275CB"/>
    <w:rsid w:val="0002764A"/>
    <w:rsid w:val="00027683"/>
    <w:rsid w:val="000276C4"/>
    <w:rsid w:val="00027981"/>
    <w:rsid w:val="000279BB"/>
    <w:rsid w:val="00027C17"/>
    <w:rsid w:val="00027CE9"/>
    <w:rsid w:val="00027D3D"/>
    <w:rsid w:val="00027DE1"/>
    <w:rsid w:val="00027F6B"/>
    <w:rsid w:val="000300A7"/>
    <w:rsid w:val="00030483"/>
    <w:rsid w:val="00030503"/>
    <w:rsid w:val="00030622"/>
    <w:rsid w:val="000306A8"/>
    <w:rsid w:val="0003072D"/>
    <w:rsid w:val="00030756"/>
    <w:rsid w:val="00030B2E"/>
    <w:rsid w:val="00030B6D"/>
    <w:rsid w:val="00030CA6"/>
    <w:rsid w:val="00031449"/>
    <w:rsid w:val="000315C5"/>
    <w:rsid w:val="0003166D"/>
    <w:rsid w:val="00031926"/>
    <w:rsid w:val="00031C08"/>
    <w:rsid w:val="00031F6A"/>
    <w:rsid w:val="000321FE"/>
    <w:rsid w:val="00032826"/>
    <w:rsid w:val="00032E3B"/>
    <w:rsid w:val="00032ED2"/>
    <w:rsid w:val="00033015"/>
    <w:rsid w:val="0003317E"/>
    <w:rsid w:val="000331AB"/>
    <w:rsid w:val="0003325A"/>
    <w:rsid w:val="000332DC"/>
    <w:rsid w:val="00033438"/>
    <w:rsid w:val="0003371E"/>
    <w:rsid w:val="000337D4"/>
    <w:rsid w:val="00033B13"/>
    <w:rsid w:val="00033D2C"/>
    <w:rsid w:val="00033F15"/>
    <w:rsid w:val="000340BE"/>
    <w:rsid w:val="00034173"/>
    <w:rsid w:val="0003417A"/>
    <w:rsid w:val="000341CB"/>
    <w:rsid w:val="000341DF"/>
    <w:rsid w:val="000342A5"/>
    <w:rsid w:val="000343A6"/>
    <w:rsid w:val="00034512"/>
    <w:rsid w:val="00034662"/>
    <w:rsid w:val="000347B2"/>
    <w:rsid w:val="000349EB"/>
    <w:rsid w:val="00034AF8"/>
    <w:rsid w:val="00034CE6"/>
    <w:rsid w:val="00034F6B"/>
    <w:rsid w:val="00034FC7"/>
    <w:rsid w:val="000350A3"/>
    <w:rsid w:val="0003535F"/>
    <w:rsid w:val="00035B7E"/>
    <w:rsid w:val="00035BE1"/>
    <w:rsid w:val="00035C7B"/>
    <w:rsid w:val="00035D90"/>
    <w:rsid w:val="00035E40"/>
    <w:rsid w:val="0003609F"/>
    <w:rsid w:val="000360D3"/>
    <w:rsid w:val="000361DD"/>
    <w:rsid w:val="00036550"/>
    <w:rsid w:val="000367D5"/>
    <w:rsid w:val="000367DF"/>
    <w:rsid w:val="00036924"/>
    <w:rsid w:val="00036A99"/>
    <w:rsid w:val="00036B31"/>
    <w:rsid w:val="00036D23"/>
    <w:rsid w:val="00036D28"/>
    <w:rsid w:val="00036F2F"/>
    <w:rsid w:val="000372D7"/>
    <w:rsid w:val="0003738F"/>
    <w:rsid w:val="000374C0"/>
    <w:rsid w:val="000377B6"/>
    <w:rsid w:val="00037802"/>
    <w:rsid w:val="0003789E"/>
    <w:rsid w:val="00037B5B"/>
    <w:rsid w:val="00037C6E"/>
    <w:rsid w:val="00037DEA"/>
    <w:rsid w:val="00037F3B"/>
    <w:rsid w:val="00037F3F"/>
    <w:rsid w:val="000402B2"/>
    <w:rsid w:val="000404D3"/>
    <w:rsid w:val="000406B2"/>
    <w:rsid w:val="000407E0"/>
    <w:rsid w:val="000411CF"/>
    <w:rsid w:val="000411E4"/>
    <w:rsid w:val="000413CE"/>
    <w:rsid w:val="000417D1"/>
    <w:rsid w:val="0004189E"/>
    <w:rsid w:val="000418A0"/>
    <w:rsid w:val="00041A71"/>
    <w:rsid w:val="00041AD4"/>
    <w:rsid w:val="00041B01"/>
    <w:rsid w:val="00041BB3"/>
    <w:rsid w:val="00041BBD"/>
    <w:rsid w:val="00041C2A"/>
    <w:rsid w:val="00041E82"/>
    <w:rsid w:val="00041EC9"/>
    <w:rsid w:val="00041F14"/>
    <w:rsid w:val="00042043"/>
    <w:rsid w:val="0004210C"/>
    <w:rsid w:val="00042429"/>
    <w:rsid w:val="00042670"/>
    <w:rsid w:val="00042687"/>
    <w:rsid w:val="0004270C"/>
    <w:rsid w:val="00042D63"/>
    <w:rsid w:val="00042DBA"/>
    <w:rsid w:val="0004301C"/>
    <w:rsid w:val="0004301D"/>
    <w:rsid w:val="0004302C"/>
    <w:rsid w:val="000430E2"/>
    <w:rsid w:val="00043160"/>
    <w:rsid w:val="00043A09"/>
    <w:rsid w:val="00043D70"/>
    <w:rsid w:val="0004425E"/>
    <w:rsid w:val="0004433E"/>
    <w:rsid w:val="000444DE"/>
    <w:rsid w:val="00044580"/>
    <w:rsid w:val="0004487B"/>
    <w:rsid w:val="00044925"/>
    <w:rsid w:val="00044ACA"/>
    <w:rsid w:val="00044B78"/>
    <w:rsid w:val="00044BDD"/>
    <w:rsid w:val="00045409"/>
    <w:rsid w:val="00045453"/>
    <w:rsid w:val="0004551C"/>
    <w:rsid w:val="0004560B"/>
    <w:rsid w:val="0004571C"/>
    <w:rsid w:val="000458EF"/>
    <w:rsid w:val="00045B8E"/>
    <w:rsid w:val="00045CB7"/>
    <w:rsid w:val="00045D3D"/>
    <w:rsid w:val="00045F51"/>
    <w:rsid w:val="00045F82"/>
    <w:rsid w:val="000461B8"/>
    <w:rsid w:val="00046503"/>
    <w:rsid w:val="000465C0"/>
    <w:rsid w:val="00046870"/>
    <w:rsid w:val="00046A3C"/>
    <w:rsid w:val="00046BDD"/>
    <w:rsid w:val="00046C22"/>
    <w:rsid w:val="00046D62"/>
    <w:rsid w:val="00046F5F"/>
    <w:rsid w:val="00047062"/>
    <w:rsid w:val="00047129"/>
    <w:rsid w:val="0004715F"/>
    <w:rsid w:val="000473EC"/>
    <w:rsid w:val="00047487"/>
    <w:rsid w:val="00047557"/>
    <w:rsid w:val="00047629"/>
    <w:rsid w:val="00047677"/>
    <w:rsid w:val="00047884"/>
    <w:rsid w:val="00047F34"/>
    <w:rsid w:val="00050229"/>
    <w:rsid w:val="00050499"/>
    <w:rsid w:val="00050533"/>
    <w:rsid w:val="00050559"/>
    <w:rsid w:val="00050637"/>
    <w:rsid w:val="000506E5"/>
    <w:rsid w:val="000507C8"/>
    <w:rsid w:val="000507E6"/>
    <w:rsid w:val="00050BE8"/>
    <w:rsid w:val="000510E1"/>
    <w:rsid w:val="000512F5"/>
    <w:rsid w:val="000513AD"/>
    <w:rsid w:val="000514C2"/>
    <w:rsid w:val="000515B2"/>
    <w:rsid w:val="00051641"/>
    <w:rsid w:val="00051675"/>
    <w:rsid w:val="00051828"/>
    <w:rsid w:val="00051840"/>
    <w:rsid w:val="00051CC4"/>
    <w:rsid w:val="00051CEA"/>
    <w:rsid w:val="00051E0D"/>
    <w:rsid w:val="00051F55"/>
    <w:rsid w:val="0005220A"/>
    <w:rsid w:val="0005222B"/>
    <w:rsid w:val="000523BD"/>
    <w:rsid w:val="000529F4"/>
    <w:rsid w:val="00052A59"/>
    <w:rsid w:val="00052B48"/>
    <w:rsid w:val="00052D3D"/>
    <w:rsid w:val="00052D85"/>
    <w:rsid w:val="00052DD9"/>
    <w:rsid w:val="00053082"/>
    <w:rsid w:val="00053336"/>
    <w:rsid w:val="0005354E"/>
    <w:rsid w:val="00053726"/>
    <w:rsid w:val="000538D4"/>
    <w:rsid w:val="0005394B"/>
    <w:rsid w:val="00053D29"/>
    <w:rsid w:val="00053F54"/>
    <w:rsid w:val="000542A8"/>
    <w:rsid w:val="0005430F"/>
    <w:rsid w:val="0005442C"/>
    <w:rsid w:val="000547DE"/>
    <w:rsid w:val="000547E7"/>
    <w:rsid w:val="000548E8"/>
    <w:rsid w:val="000549B0"/>
    <w:rsid w:val="00054F5F"/>
    <w:rsid w:val="00054FC4"/>
    <w:rsid w:val="000550D6"/>
    <w:rsid w:val="000551DD"/>
    <w:rsid w:val="00055280"/>
    <w:rsid w:val="00055389"/>
    <w:rsid w:val="0005539A"/>
    <w:rsid w:val="000554F0"/>
    <w:rsid w:val="000556FA"/>
    <w:rsid w:val="0005585D"/>
    <w:rsid w:val="00055C50"/>
    <w:rsid w:val="00055CCC"/>
    <w:rsid w:val="00055EF4"/>
    <w:rsid w:val="00055FE1"/>
    <w:rsid w:val="000561A1"/>
    <w:rsid w:val="00056215"/>
    <w:rsid w:val="00056234"/>
    <w:rsid w:val="00056545"/>
    <w:rsid w:val="000567B2"/>
    <w:rsid w:val="00056904"/>
    <w:rsid w:val="0005693D"/>
    <w:rsid w:val="00056949"/>
    <w:rsid w:val="00056FA3"/>
    <w:rsid w:val="000571E9"/>
    <w:rsid w:val="000572CB"/>
    <w:rsid w:val="000572DE"/>
    <w:rsid w:val="00057622"/>
    <w:rsid w:val="000577FF"/>
    <w:rsid w:val="000578BE"/>
    <w:rsid w:val="00057979"/>
    <w:rsid w:val="000579EA"/>
    <w:rsid w:val="00057AE5"/>
    <w:rsid w:val="00057B7B"/>
    <w:rsid w:val="00057C5A"/>
    <w:rsid w:val="00057FE1"/>
    <w:rsid w:val="000601EC"/>
    <w:rsid w:val="000602E1"/>
    <w:rsid w:val="00060318"/>
    <w:rsid w:val="00060320"/>
    <w:rsid w:val="000605F7"/>
    <w:rsid w:val="000607D2"/>
    <w:rsid w:val="00060B54"/>
    <w:rsid w:val="00060C20"/>
    <w:rsid w:val="00060C26"/>
    <w:rsid w:val="00060C6F"/>
    <w:rsid w:val="00060F20"/>
    <w:rsid w:val="0006105A"/>
    <w:rsid w:val="000610CA"/>
    <w:rsid w:val="00061230"/>
    <w:rsid w:val="000612AB"/>
    <w:rsid w:val="000612D9"/>
    <w:rsid w:val="000614A5"/>
    <w:rsid w:val="0006167F"/>
    <w:rsid w:val="000616B9"/>
    <w:rsid w:val="00061A77"/>
    <w:rsid w:val="00061C99"/>
    <w:rsid w:val="00061F21"/>
    <w:rsid w:val="0006200C"/>
    <w:rsid w:val="000620FC"/>
    <w:rsid w:val="00062192"/>
    <w:rsid w:val="000621AC"/>
    <w:rsid w:val="000623F2"/>
    <w:rsid w:val="0006268A"/>
    <w:rsid w:val="000626AB"/>
    <w:rsid w:val="00062772"/>
    <w:rsid w:val="000628C3"/>
    <w:rsid w:val="00062F13"/>
    <w:rsid w:val="00063134"/>
    <w:rsid w:val="00063142"/>
    <w:rsid w:val="00063307"/>
    <w:rsid w:val="000633CF"/>
    <w:rsid w:val="000633E8"/>
    <w:rsid w:val="0006344D"/>
    <w:rsid w:val="00063472"/>
    <w:rsid w:val="00063517"/>
    <w:rsid w:val="00063616"/>
    <w:rsid w:val="00063643"/>
    <w:rsid w:val="000636A1"/>
    <w:rsid w:val="00063935"/>
    <w:rsid w:val="00063A84"/>
    <w:rsid w:val="000643D9"/>
    <w:rsid w:val="000643E6"/>
    <w:rsid w:val="0006453D"/>
    <w:rsid w:val="00064704"/>
    <w:rsid w:val="0006483F"/>
    <w:rsid w:val="00064EC5"/>
    <w:rsid w:val="00064F75"/>
    <w:rsid w:val="00064F7B"/>
    <w:rsid w:val="00064FD5"/>
    <w:rsid w:val="000651A6"/>
    <w:rsid w:val="000651ED"/>
    <w:rsid w:val="00065239"/>
    <w:rsid w:val="000652CB"/>
    <w:rsid w:val="000653F0"/>
    <w:rsid w:val="0006540F"/>
    <w:rsid w:val="00065731"/>
    <w:rsid w:val="000657D1"/>
    <w:rsid w:val="00065AE7"/>
    <w:rsid w:val="00065BF4"/>
    <w:rsid w:val="00065CB2"/>
    <w:rsid w:val="0006604E"/>
    <w:rsid w:val="00066229"/>
    <w:rsid w:val="000664A1"/>
    <w:rsid w:val="000664C1"/>
    <w:rsid w:val="000669AA"/>
    <w:rsid w:val="00066CF1"/>
    <w:rsid w:val="00066EF5"/>
    <w:rsid w:val="0006744E"/>
    <w:rsid w:val="000675AA"/>
    <w:rsid w:val="00067656"/>
    <w:rsid w:val="0006767F"/>
    <w:rsid w:val="00067698"/>
    <w:rsid w:val="0006775E"/>
    <w:rsid w:val="0006784B"/>
    <w:rsid w:val="000679AC"/>
    <w:rsid w:val="00067A6A"/>
    <w:rsid w:val="00067A75"/>
    <w:rsid w:val="00067AF5"/>
    <w:rsid w:val="00067B4B"/>
    <w:rsid w:val="00067B5F"/>
    <w:rsid w:val="00067D07"/>
    <w:rsid w:val="00067DD0"/>
    <w:rsid w:val="00070038"/>
    <w:rsid w:val="00070081"/>
    <w:rsid w:val="00070195"/>
    <w:rsid w:val="0007019B"/>
    <w:rsid w:val="00070671"/>
    <w:rsid w:val="000706D0"/>
    <w:rsid w:val="00070919"/>
    <w:rsid w:val="00070A40"/>
    <w:rsid w:val="00070AE4"/>
    <w:rsid w:val="00070D2E"/>
    <w:rsid w:val="00070D5A"/>
    <w:rsid w:val="000714B4"/>
    <w:rsid w:val="00071671"/>
    <w:rsid w:val="000718BF"/>
    <w:rsid w:val="00071A4B"/>
    <w:rsid w:val="00071F44"/>
    <w:rsid w:val="000720B3"/>
    <w:rsid w:val="00072111"/>
    <w:rsid w:val="000725AC"/>
    <w:rsid w:val="00072606"/>
    <w:rsid w:val="000726AA"/>
    <w:rsid w:val="000729F2"/>
    <w:rsid w:val="00072B3D"/>
    <w:rsid w:val="00072B86"/>
    <w:rsid w:val="00072BD6"/>
    <w:rsid w:val="00072E2C"/>
    <w:rsid w:val="00072E84"/>
    <w:rsid w:val="00072F98"/>
    <w:rsid w:val="00073078"/>
    <w:rsid w:val="00073318"/>
    <w:rsid w:val="00073426"/>
    <w:rsid w:val="00073617"/>
    <w:rsid w:val="000737CC"/>
    <w:rsid w:val="0007398F"/>
    <w:rsid w:val="00073A40"/>
    <w:rsid w:val="00073A92"/>
    <w:rsid w:val="00073ABD"/>
    <w:rsid w:val="00073BB3"/>
    <w:rsid w:val="00073D93"/>
    <w:rsid w:val="00073EAB"/>
    <w:rsid w:val="00073F16"/>
    <w:rsid w:val="00073F7B"/>
    <w:rsid w:val="00073F82"/>
    <w:rsid w:val="00073FE5"/>
    <w:rsid w:val="0007405C"/>
    <w:rsid w:val="000741E9"/>
    <w:rsid w:val="00074396"/>
    <w:rsid w:val="0007464A"/>
    <w:rsid w:val="000748EC"/>
    <w:rsid w:val="00074C11"/>
    <w:rsid w:val="00074CBB"/>
    <w:rsid w:val="00074E4A"/>
    <w:rsid w:val="00074EC2"/>
    <w:rsid w:val="00075081"/>
    <w:rsid w:val="0007527F"/>
    <w:rsid w:val="000752A4"/>
    <w:rsid w:val="000755B8"/>
    <w:rsid w:val="0007576D"/>
    <w:rsid w:val="00075827"/>
    <w:rsid w:val="00075A13"/>
    <w:rsid w:val="00075D11"/>
    <w:rsid w:val="00075FC4"/>
    <w:rsid w:val="0007626C"/>
    <w:rsid w:val="000764BD"/>
    <w:rsid w:val="000764F6"/>
    <w:rsid w:val="000765B4"/>
    <w:rsid w:val="00076773"/>
    <w:rsid w:val="000769F3"/>
    <w:rsid w:val="00076EC6"/>
    <w:rsid w:val="00076EDB"/>
    <w:rsid w:val="00076F88"/>
    <w:rsid w:val="000770C0"/>
    <w:rsid w:val="000771DE"/>
    <w:rsid w:val="00077310"/>
    <w:rsid w:val="00077672"/>
    <w:rsid w:val="000776A6"/>
    <w:rsid w:val="0007779C"/>
    <w:rsid w:val="00077B1B"/>
    <w:rsid w:val="00077C46"/>
    <w:rsid w:val="00077DF6"/>
    <w:rsid w:val="00077FAD"/>
    <w:rsid w:val="000800F1"/>
    <w:rsid w:val="00080133"/>
    <w:rsid w:val="0008022E"/>
    <w:rsid w:val="0008026A"/>
    <w:rsid w:val="000804A8"/>
    <w:rsid w:val="000808E7"/>
    <w:rsid w:val="00080A23"/>
    <w:rsid w:val="00080BC6"/>
    <w:rsid w:val="00080CF4"/>
    <w:rsid w:val="00080DAA"/>
    <w:rsid w:val="00080FE1"/>
    <w:rsid w:val="00081070"/>
    <w:rsid w:val="00081196"/>
    <w:rsid w:val="000812CD"/>
    <w:rsid w:val="0008130E"/>
    <w:rsid w:val="00081430"/>
    <w:rsid w:val="000816D9"/>
    <w:rsid w:val="0008189E"/>
    <w:rsid w:val="000818EE"/>
    <w:rsid w:val="000819A5"/>
    <w:rsid w:val="00081AF6"/>
    <w:rsid w:val="0008218C"/>
    <w:rsid w:val="000821F8"/>
    <w:rsid w:val="000823AF"/>
    <w:rsid w:val="0008254F"/>
    <w:rsid w:val="000825A4"/>
    <w:rsid w:val="0008270B"/>
    <w:rsid w:val="0008282F"/>
    <w:rsid w:val="00082AAA"/>
    <w:rsid w:val="00082C4B"/>
    <w:rsid w:val="00082E95"/>
    <w:rsid w:val="00082F1E"/>
    <w:rsid w:val="00082FDF"/>
    <w:rsid w:val="000833BA"/>
    <w:rsid w:val="0008345D"/>
    <w:rsid w:val="00083474"/>
    <w:rsid w:val="000834CB"/>
    <w:rsid w:val="000835AD"/>
    <w:rsid w:val="000838AF"/>
    <w:rsid w:val="00083975"/>
    <w:rsid w:val="000839AD"/>
    <w:rsid w:val="00083AB3"/>
    <w:rsid w:val="00083AD2"/>
    <w:rsid w:val="00083C21"/>
    <w:rsid w:val="00083E2A"/>
    <w:rsid w:val="00083E9B"/>
    <w:rsid w:val="000842C6"/>
    <w:rsid w:val="0008458B"/>
    <w:rsid w:val="0008477A"/>
    <w:rsid w:val="00084A56"/>
    <w:rsid w:val="00084C38"/>
    <w:rsid w:val="00084CC3"/>
    <w:rsid w:val="0008506F"/>
    <w:rsid w:val="000855C0"/>
    <w:rsid w:val="000855EB"/>
    <w:rsid w:val="000856B8"/>
    <w:rsid w:val="000858C6"/>
    <w:rsid w:val="000859EC"/>
    <w:rsid w:val="00085AC7"/>
    <w:rsid w:val="00085C40"/>
    <w:rsid w:val="00086090"/>
    <w:rsid w:val="000860E1"/>
    <w:rsid w:val="000863A0"/>
    <w:rsid w:val="0008666D"/>
    <w:rsid w:val="00086728"/>
    <w:rsid w:val="00086746"/>
    <w:rsid w:val="000867E7"/>
    <w:rsid w:val="0008681E"/>
    <w:rsid w:val="0008682A"/>
    <w:rsid w:val="0008687A"/>
    <w:rsid w:val="00086A75"/>
    <w:rsid w:val="00086EEA"/>
    <w:rsid w:val="000872F2"/>
    <w:rsid w:val="00087390"/>
    <w:rsid w:val="000874C5"/>
    <w:rsid w:val="00087711"/>
    <w:rsid w:val="00087832"/>
    <w:rsid w:val="00090006"/>
    <w:rsid w:val="00090025"/>
    <w:rsid w:val="0009003F"/>
    <w:rsid w:val="00090061"/>
    <w:rsid w:val="000903F9"/>
    <w:rsid w:val="0009068E"/>
    <w:rsid w:val="000907A9"/>
    <w:rsid w:val="0009091C"/>
    <w:rsid w:val="00090FB7"/>
    <w:rsid w:val="0009106E"/>
    <w:rsid w:val="00091642"/>
    <w:rsid w:val="00091795"/>
    <w:rsid w:val="000917AF"/>
    <w:rsid w:val="00091822"/>
    <w:rsid w:val="00091825"/>
    <w:rsid w:val="00091A52"/>
    <w:rsid w:val="00091B40"/>
    <w:rsid w:val="00091D64"/>
    <w:rsid w:val="00091F91"/>
    <w:rsid w:val="0009209F"/>
    <w:rsid w:val="00092212"/>
    <w:rsid w:val="000922C0"/>
    <w:rsid w:val="000923B3"/>
    <w:rsid w:val="00092483"/>
    <w:rsid w:val="0009275B"/>
    <w:rsid w:val="0009279C"/>
    <w:rsid w:val="00092939"/>
    <w:rsid w:val="0009295B"/>
    <w:rsid w:val="0009298E"/>
    <w:rsid w:val="00092B88"/>
    <w:rsid w:val="00092E5D"/>
    <w:rsid w:val="00093193"/>
    <w:rsid w:val="00093249"/>
    <w:rsid w:val="0009329E"/>
    <w:rsid w:val="0009332B"/>
    <w:rsid w:val="0009386F"/>
    <w:rsid w:val="00093A25"/>
    <w:rsid w:val="00093B48"/>
    <w:rsid w:val="00093BD9"/>
    <w:rsid w:val="00093EC3"/>
    <w:rsid w:val="00094066"/>
    <w:rsid w:val="0009421A"/>
    <w:rsid w:val="00094351"/>
    <w:rsid w:val="00094430"/>
    <w:rsid w:val="00094482"/>
    <w:rsid w:val="00094A2A"/>
    <w:rsid w:val="00094B50"/>
    <w:rsid w:val="00094BC3"/>
    <w:rsid w:val="00094C86"/>
    <w:rsid w:val="00094D18"/>
    <w:rsid w:val="00094E1F"/>
    <w:rsid w:val="00095082"/>
    <w:rsid w:val="000950C9"/>
    <w:rsid w:val="00095280"/>
    <w:rsid w:val="000954DE"/>
    <w:rsid w:val="00095514"/>
    <w:rsid w:val="000955FE"/>
    <w:rsid w:val="0009568C"/>
    <w:rsid w:val="00095968"/>
    <w:rsid w:val="000959B8"/>
    <w:rsid w:val="00095DBB"/>
    <w:rsid w:val="00095E47"/>
    <w:rsid w:val="00095E61"/>
    <w:rsid w:val="00095EB1"/>
    <w:rsid w:val="0009602E"/>
    <w:rsid w:val="000960A1"/>
    <w:rsid w:val="000960AD"/>
    <w:rsid w:val="00096598"/>
    <w:rsid w:val="000968B7"/>
    <w:rsid w:val="000969B6"/>
    <w:rsid w:val="00096B28"/>
    <w:rsid w:val="00096D09"/>
    <w:rsid w:val="0009705E"/>
    <w:rsid w:val="00097153"/>
    <w:rsid w:val="0009746F"/>
    <w:rsid w:val="00097565"/>
    <w:rsid w:val="000975B1"/>
    <w:rsid w:val="0009764F"/>
    <w:rsid w:val="00097755"/>
    <w:rsid w:val="000977D0"/>
    <w:rsid w:val="000978A4"/>
    <w:rsid w:val="00097919"/>
    <w:rsid w:val="00097C52"/>
    <w:rsid w:val="00097FAA"/>
    <w:rsid w:val="000A0196"/>
    <w:rsid w:val="000A02A7"/>
    <w:rsid w:val="000A0340"/>
    <w:rsid w:val="000A04FA"/>
    <w:rsid w:val="000A06B0"/>
    <w:rsid w:val="000A0873"/>
    <w:rsid w:val="000A0A61"/>
    <w:rsid w:val="000A0E8C"/>
    <w:rsid w:val="000A0F5A"/>
    <w:rsid w:val="000A1213"/>
    <w:rsid w:val="000A14AC"/>
    <w:rsid w:val="000A1BBF"/>
    <w:rsid w:val="000A1CA6"/>
    <w:rsid w:val="000A1D7E"/>
    <w:rsid w:val="000A1DB5"/>
    <w:rsid w:val="000A1DC0"/>
    <w:rsid w:val="000A1FD4"/>
    <w:rsid w:val="000A2016"/>
    <w:rsid w:val="000A2092"/>
    <w:rsid w:val="000A20AA"/>
    <w:rsid w:val="000A20C1"/>
    <w:rsid w:val="000A223E"/>
    <w:rsid w:val="000A23B4"/>
    <w:rsid w:val="000A246E"/>
    <w:rsid w:val="000A255D"/>
    <w:rsid w:val="000A2B1C"/>
    <w:rsid w:val="000A2B73"/>
    <w:rsid w:val="000A2C56"/>
    <w:rsid w:val="000A2DB0"/>
    <w:rsid w:val="000A2F35"/>
    <w:rsid w:val="000A2FC5"/>
    <w:rsid w:val="000A3020"/>
    <w:rsid w:val="000A3052"/>
    <w:rsid w:val="000A31C3"/>
    <w:rsid w:val="000A325A"/>
    <w:rsid w:val="000A3339"/>
    <w:rsid w:val="000A34A1"/>
    <w:rsid w:val="000A34AE"/>
    <w:rsid w:val="000A396C"/>
    <w:rsid w:val="000A3C78"/>
    <w:rsid w:val="000A3CCF"/>
    <w:rsid w:val="000A3F01"/>
    <w:rsid w:val="000A42FE"/>
    <w:rsid w:val="000A4395"/>
    <w:rsid w:val="000A43CE"/>
    <w:rsid w:val="000A459A"/>
    <w:rsid w:val="000A45A7"/>
    <w:rsid w:val="000A47BA"/>
    <w:rsid w:val="000A47CC"/>
    <w:rsid w:val="000A4950"/>
    <w:rsid w:val="000A496C"/>
    <w:rsid w:val="000A4C0F"/>
    <w:rsid w:val="000A4C85"/>
    <w:rsid w:val="000A4C8B"/>
    <w:rsid w:val="000A4EB8"/>
    <w:rsid w:val="000A5003"/>
    <w:rsid w:val="000A500F"/>
    <w:rsid w:val="000A527E"/>
    <w:rsid w:val="000A550F"/>
    <w:rsid w:val="000A5BE4"/>
    <w:rsid w:val="000A5F8D"/>
    <w:rsid w:val="000A6323"/>
    <w:rsid w:val="000A66D4"/>
    <w:rsid w:val="000A6A6D"/>
    <w:rsid w:val="000A6A7F"/>
    <w:rsid w:val="000A6CAB"/>
    <w:rsid w:val="000A6EB2"/>
    <w:rsid w:val="000A6EE2"/>
    <w:rsid w:val="000A6F86"/>
    <w:rsid w:val="000A705F"/>
    <w:rsid w:val="000A7188"/>
    <w:rsid w:val="000A71C4"/>
    <w:rsid w:val="000A7470"/>
    <w:rsid w:val="000A7488"/>
    <w:rsid w:val="000A76B9"/>
    <w:rsid w:val="000A76CD"/>
    <w:rsid w:val="000A770B"/>
    <w:rsid w:val="000A7868"/>
    <w:rsid w:val="000A79D8"/>
    <w:rsid w:val="000A7B4B"/>
    <w:rsid w:val="000A7C0C"/>
    <w:rsid w:val="000A7F9B"/>
    <w:rsid w:val="000A7FE6"/>
    <w:rsid w:val="000B006D"/>
    <w:rsid w:val="000B0155"/>
    <w:rsid w:val="000B0179"/>
    <w:rsid w:val="000B02C9"/>
    <w:rsid w:val="000B06C0"/>
    <w:rsid w:val="000B06D9"/>
    <w:rsid w:val="000B093B"/>
    <w:rsid w:val="000B09BB"/>
    <w:rsid w:val="000B0AB0"/>
    <w:rsid w:val="000B0BA0"/>
    <w:rsid w:val="000B0E03"/>
    <w:rsid w:val="000B0E9B"/>
    <w:rsid w:val="000B0F67"/>
    <w:rsid w:val="000B0FFA"/>
    <w:rsid w:val="000B1157"/>
    <w:rsid w:val="000B1172"/>
    <w:rsid w:val="000B17A1"/>
    <w:rsid w:val="000B1A7C"/>
    <w:rsid w:val="000B1BD6"/>
    <w:rsid w:val="000B1C67"/>
    <w:rsid w:val="000B1CD0"/>
    <w:rsid w:val="000B1EA1"/>
    <w:rsid w:val="000B1EB4"/>
    <w:rsid w:val="000B201C"/>
    <w:rsid w:val="000B201E"/>
    <w:rsid w:val="000B221D"/>
    <w:rsid w:val="000B22FA"/>
    <w:rsid w:val="000B246C"/>
    <w:rsid w:val="000B2628"/>
    <w:rsid w:val="000B26CE"/>
    <w:rsid w:val="000B28C0"/>
    <w:rsid w:val="000B2A24"/>
    <w:rsid w:val="000B2C2A"/>
    <w:rsid w:val="000B2C41"/>
    <w:rsid w:val="000B2C7E"/>
    <w:rsid w:val="000B2D7C"/>
    <w:rsid w:val="000B2EB8"/>
    <w:rsid w:val="000B32B0"/>
    <w:rsid w:val="000B33A1"/>
    <w:rsid w:val="000B3697"/>
    <w:rsid w:val="000B39A6"/>
    <w:rsid w:val="000B39C0"/>
    <w:rsid w:val="000B3B90"/>
    <w:rsid w:val="000B3D14"/>
    <w:rsid w:val="000B3D65"/>
    <w:rsid w:val="000B40F7"/>
    <w:rsid w:val="000B4206"/>
    <w:rsid w:val="000B422A"/>
    <w:rsid w:val="000B443A"/>
    <w:rsid w:val="000B458C"/>
    <w:rsid w:val="000B488C"/>
    <w:rsid w:val="000B4D0A"/>
    <w:rsid w:val="000B4EAC"/>
    <w:rsid w:val="000B4EFC"/>
    <w:rsid w:val="000B5027"/>
    <w:rsid w:val="000B51D4"/>
    <w:rsid w:val="000B5292"/>
    <w:rsid w:val="000B52A3"/>
    <w:rsid w:val="000B531D"/>
    <w:rsid w:val="000B5436"/>
    <w:rsid w:val="000B54C8"/>
    <w:rsid w:val="000B54EF"/>
    <w:rsid w:val="000B5567"/>
    <w:rsid w:val="000B56C9"/>
    <w:rsid w:val="000B5766"/>
    <w:rsid w:val="000B5785"/>
    <w:rsid w:val="000B5792"/>
    <w:rsid w:val="000B5EFB"/>
    <w:rsid w:val="000B6024"/>
    <w:rsid w:val="000B61B3"/>
    <w:rsid w:val="000B635E"/>
    <w:rsid w:val="000B6416"/>
    <w:rsid w:val="000B661E"/>
    <w:rsid w:val="000B66AB"/>
    <w:rsid w:val="000B6A1B"/>
    <w:rsid w:val="000B6ABB"/>
    <w:rsid w:val="000B6AF1"/>
    <w:rsid w:val="000B71AA"/>
    <w:rsid w:val="000B72BB"/>
    <w:rsid w:val="000B73DB"/>
    <w:rsid w:val="000B7723"/>
    <w:rsid w:val="000C0000"/>
    <w:rsid w:val="000C009B"/>
    <w:rsid w:val="000C025D"/>
    <w:rsid w:val="000C073A"/>
    <w:rsid w:val="000C0781"/>
    <w:rsid w:val="000C0A39"/>
    <w:rsid w:val="000C0AD1"/>
    <w:rsid w:val="000C0CFA"/>
    <w:rsid w:val="000C0FEB"/>
    <w:rsid w:val="000C1096"/>
    <w:rsid w:val="000C10C7"/>
    <w:rsid w:val="000C1208"/>
    <w:rsid w:val="000C1530"/>
    <w:rsid w:val="000C1875"/>
    <w:rsid w:val="000C1964"/>
    <w:rsid w:val="000C1967"/>
    <w:rsid w:val="000C1F86"/>
    <w:rsid w:val="000C201C"/>
    <w:rsid w:val="000C2021"/>
    <w:rsid w:val="000C212C"/>
    <w:rsid w:val="000C2145"/>
    <w:rsid w:val="000C258B"/>
    <w:rsid w:val="000C2756"/>
    <w:rsid w:val="000C286C"/>
    <w:rsid w:val="000C2C11"/>
    <w:rsid w:val="000C2D52"/>
    <w:rsid w:val="000C2D64"/>
    <w:rsid w:val="000C2EB8"/>
    <w:rsid w:val="000C2ED3"/>
    <w:rsid w:val="000C2F01"/>
    <w:rsid w:val="000C3021"/>
    <w:rsid w:val="000C323D"/>
    <w:rsid w:val="000C3560"/>
    <w:rsid w:val="000C35C8"/>
    <w:rsid w:val="000C35CB"/>
    <w:rsid w:val="000C3621"/>
    <w:rsid w:val="000C3639"/>
    <w:rsid w:val="000C3938"/>
    <w:rsid w:val="000C39A2"/>
    <w:rsid w:val="000C3B38"/>
    <w:rsid w:val="000C3C40"/>
    <w:rsid w:val="000C3CF6"/>
    <w:rsid w:val="000C3E25"/>
    <w:rsid w:val="000C3EE5"/>
    <w:rsid w:val="000C3FD4"/>
    <w:rsid w:val="000C40E7"/>
    <w:rsid w:val="000C4110"/>
    <w:rsid w:val="000C4291"/>
    <w:rsid w:val="000C43C9"/>
    <w:rsid w:val="000C4747"/>
    <w:rsid w:val="000C492B"/>
    <w:rsid w:val="000C49A5"/>
    <w:rsid w:val="000C4A1B"/>
    <w:rsid w:val="000C4A6F"/>
    <w:rsid w:val="000C4F03"/>
    <w:rsid w:val="000C4FB0"/>
    <w:rsid w:val="000C50F2"/>
    <w:rsid w:val="000C553B"/>
    <w:rsid w:val="000C58BA"/>
    <w:rsid w:val="000C5A71"/>
    <w:rsid w:val="000C5ADF"/>
    <w:rsid w:val="000C60DA"/>
    <w:rsid w:val="000C62EE"/>
    <w:rsid w:val="000C6343"/>
    <w:rsid w:val="000C638C"/>
    <w:rsid w:val="000C646B"/>
    <w:rsid w:val="000C657F"/>
    <w:rsid w:val="000C65A5"/>
    <w:rsid w:val="000C6751"/>
    <w:rsid w:val="000C6B33"/>
    <w:rsid w:val="000C6C1B"/>
    <w:rsid w:val="000C6F21"/>
    <w:rsid w:val="000C7066"/>
    <w:rsid w:val="000C7205"/>
    <w:rsid w:val="000C7287"/>
    <w:rsid w:val="000C7399"/>
    <w:rsid w:val="000C7506"/>
    <w:rsid w:val="000C7950"/>
    <w:rsid w:val="000C7A03"/>
    <w:rsid w:val="000C7A3E"/>
    <w:rsid w:val="000C7B89"/>
    <w:rsid w:val="000C7B94"/>
    <w:rsid w:val="000C7E1B"/>
    <w:rsid w:val="000D0538"/>
    <w:rsid w:val="000D069B"/>
    <w:rsid w:val="000D09B2"/>
    <w:rsid w:val="000D0B72"/>
    <w:rsid w:val="000D0BDB"/>
    <w:rsid w:val="000D0BDF"/>
    <w:rsid w:val="000D0CED"/>
    <w:rsid w:val="000D0DFE"/>
    <w:rsid w:val="000D0FBD"/>
    <w:rsid w:val="000D1099"/>
    <w:rsid w:val="000D131D"/>
    <w:rsid w:val="000D143B"/>
    <w:rsid w:val="000D1F3E"/>
    <w:rsid w:val="000D2052"/>
    <w:rsid w:val="000D20E5"/>
    <w:rsid w:val="000D22DE"/>
    <w:rsid w:val="000D2320"/>
    <w:rsid w:val="000D240C"/>
    <w:rsid w:val="000D245B"/>
    <w:rsid w:val="000D2883"/>
    <w:rsid w:val="000D3278"/>
    <w:rsid w:val="000D335A"/>
    <w:rsid w:val="000D394B"/>
    <w:rsid w:val="000D39A0"/>
    <w:rsid w:val="000D3FDD"/>
    <w:rsid w:val="000D4206"/>
    <w:rsid w:val="000D420C"/>
    <w:rsid w:val="000D440F"/>
    <w:rsid w:val="000D45F7"/>
    <w:rsid w:val="000D4A52"/>
    <w:rsid w:val="000D4D90"/>
    <w:rsid w:val="000D4DE8"/>
    <w:rsid w:val="000D4DEF"/>
    <w:rsid w:val="000D4E69"/>
    <w:rsid w:val="000D4F4A"/>
    <w:rsid w:val="000D4F9C"/>
    <w:rsid w:val="000D51D6"/>
    <w:rsid w:val="000D5200"/>
    <w:rsid w:val="000D53AD"/>
    <w:rsid w:val="000D58C9"/>
    <w:rsid w:val="000D5A72"/>
    <w:rsid w:val="000D5B08"/>
    <w:rsid w:val="000D5B88"/>
    <w:rsid w:val="000D5CD6"/>
    <w:rsid w:val="000D5DAA"/>
    <w:rsid w:val="000D5E04"/>
    <w:rsid w:val="000D5E3A"/>
    <w:rsid w:val="000D5EF5"/>
    <w:rsid w:val="000D5F06"/>
    <w:rsid w:val="000D5F74"/>
    <w:rsid w:val="000D61A9"/>
    <w:rsid w:val="000D6254"/>
    <w:rsid w:val="000D62C4"/>
    <w:rsid w:val="000D643B"/>
    <w:rsid w:val="000D646C"/>
    <w:rsid w:val="000D662E"/>
    <w:rsid w:val="000D67FB"/>
    <w:rsid w:val="000D69FF"/>
    <w:rsid w:val="000D6BC4"/>
    <w:rsid w:val="000D6CBB"/>
    <w:rsid w:val="000D6D06"/>
    <w:rsid w:val="000D6D9F"/>
    <w:rsid w:val="000D6E96"/>
    <w:rsid w:val="000D702D"/>
    <w:rsid w:val="000D71DC"/>
    <w:rsid w:val="000D748D"/>
    <w:rsid w:val="000D7780"/>
    <w:rsid w:val="000D77A9"/>
    <w:rsid w:val="000D77D0"/>
    <w:rsid w:val="000D7F0F"/>
    <w:rsid w:val="000D7FC0"/>
    <w:rsid w:val="000E0088"/>
    <w:rsid w:val="000E0403"/>
    <w:rsid w:val="000E0543"/>
    <w:rsid w:val="000E0625"/>
    <w:rsid w:val="000E0629"/>
    <w:rsid w:val="000E072F"/>
    <w:rsid w:val="000E0A44"/>
    <w:rsid w:val="000E0D39"/>
    <w:rsid w:val="000E0E57"/>
    <w:rsid w:val="000E0E97"/>
    <w:rsid w:val="000E100C"/>
    <w:rsid w:val="000E1054"/>
    <w:rsid w:val="000E121A"/>
    <w:rsid w:val="000E14F0"/>
    <w:rsid w:val="000E15A9"/>
    <w:rsid w:val="000E197F"/>
    <w:rsid w:val="000E1A6D"/>
    <w:rsid w:val="000E203D"/>
    <w:rsid w:val="000E227D"/>
    <w:rsid w:val="000E2429"/>
    <w:rsid w:val="000E2504"/>
    <w:rsid w:val="000E27DF"/>
    <w:rsid w:val="000E291A"/>
    <w:rsid w:val="000E2A62"/>
    <w:rsid w:val="000E2ACA"/>
    <w:rsid w:val="000E3187"/>
    <w:rsid w:val="000E339D"/>
    <w:rsid w:val="000E3880"/>
    <w:rsid w:val="000E3BD0"/>
    <w:rsid w:val="000E41DF"/>
    <w:rsid w:val="000E4410"/>
    <w:rsid w:val="000E4419"/>
    <w:rsid w:val="000E4438"/>
    <w:rsid w:val="000E4498"/>
    <w:rsid w:val="000E44CD"/>
    <w:rsid w:val="000E46D0"/>
    <w:rsid w:val="000E4791"/>
    <w:rsid w:val="000E49BA"/>
    <w:rsid w:val="000E4ACD"/>
    <w:rsid w:val="000E4EA1"/>
    <w:rsid w:val="000E4FB9"/>
    <w:rsid w:val="000E5377"/>
    <w:rsid w:val="000E538D"/>
    <w:rsid w:val="000E5437"/>
    <w:rsid w:val="000E58E2"/>
    <w:rsid w:val="000E5907"/>
    <w:rsid w:val="000E59A7"/>
    <w:rsid w:val="000E5A70"/>
    <w:rsid w:val="000E5ECE"/>
    <w:rsid w:val="000E5EDA"/>
    <w:rsid w:val="000E6095"/>
    <w:rsid w:val="000E61A7"/>
    <w:rsid w:val="000E6498"/>
    <w:rsid w:val="000E64E2"/>
    <w:rsid w:val="000E65D8"/>
    <w:rsid w:val="000E6639"/>
    <w:rsid w:val="000E674E"/>
    <w:rsid w:val="000E69D8"/>
    <w:rsid w:val="000E6A20"/>
    <w:rsid w:val="000E6E43"/>
    <w:rsid w:val="000E6FD9"/>
    <w:rsid w:val="000E750D"/>
    <w:rsid w:val="000E7CD5"/>
    <w:rsid w:val="000E7CE8"/>
    <w:rsid w:val="000E7EDD"/>
    <w:rsid w:val="000F013B"/>
    <w:rsid w:val="000F0196"/>
    <w:rsid w:val="000F022D"/>
    <w:rsid w:val="000F026C"/>
    <w:rsid w:val="000F074E"/>
    <w:rsid w:val="000F08EF"/>
    <w:rsid w:val="000F0AF3"/>
    <w:rsid w:val="000F0D26"/>
    <w:rsid w:val="000F1158"/>
    <w:rsid w:val="000F1285"/>
    <w:rsid w:val="000F138D"/>
    <w:rsid w:val="000F13FC"/>
    <w:rsid w:val="000F15A8"/>
    <w:rsid w:val="000F17D9"/>
    <w:rsid w:val="000F1A82"/>
    <w:rsid w:val="000F1BEF"/>
    <w:rsid w:val="000F1E07"/>
    <w:rsid w:val="000F20C5"/>
    <w:rsid w:val="000F23DD"/>
    <w:rsid w:val="000F27C6"/>
    <w:rsid w:val="000F2886"/>
    <w:rsid w:val="000F29FF"/>
    <w:rsid w:val="000F2A1C"/>
    <w:rsid w:val="000F2B38"/>
    <w:rsid w:val="000F2C7C"/>
    <w:rsid w:val="000F2FC0"/>
    <w:rsid w:val="000F303C"/>
    <w:rsid w:val="000F340F"/>
    <w:rsid w:val="000F3493"/>
    <w:rsid w:val="000F3C48"/>
    <w:rsid w:val="000F3D4D"/>
    <w:rsid w:val="000F3F2A"/>
    <w:rsid w:val="000F3F36"/>
    <w:rsid w:val="000F4106"/>
    <w:rsid w:val="000F4458"/>
    <w:rsid w:val="000F446A"/>
    <w:rsid w:val="000F45D3"/>
    <w:rsid w:val="000F47C1"/>
    <w:rsid w:val="000F4865"/>
    <w:rsid w:val="000F486C"/>
    <w:rsid w:val="000F4B0F"/>
    <w:rsid w:val="000F4B13"/>
    <w:rsid w:val="000F4CAA"/>
    <w:rsid w:val="000F4E44"/>
    <w:rsid w:val="000F4EEC"/>
    <w:rsid w:val="000F52D8"/>
    <w:rsid w:val="000F54B9"/>
    <w:rsid w:val="000F54C4"/>
    <w:rsid w:val="000F56A8"/>
    <w:rsid w:val="000F56B6"/>
    <w:rsid w:val="000F5927"/>
    <w:rsid w:val="000F5CFC"/>
    <w:rsid w:val="000F5DE9"/>
    <w:rsid w:val="000F5FEC"/>
    <w:rsid w:val="000F6143"/>
    <w:rsid w:val="000F61C1"/>
    <w:rsid w:val="000F620A"/>
    <w:rsid w:val="000F62B9"/>
    <w:rsid w:val="000F63DC"/>
    <w:rsid w:val="000F651C"/>
    <w:rsid w:val="000F67B4"/>
    <w:rsid w:val="000F6AA7"/>
    <w:rsid w:val="000F6C9E"/>
    <w:rsid w:val="000F6CBD"/>
    <w:rsid w:val="000F6DF1"/>
    <w:rsid w:val="000F6E97"/>
    <w:rsid w:val="000F7079"/>
    <w:rsid w:val="000F723E"/>
    <w:rsid w:val="000F7278"/>
    <w:rsid w:val="000F791D"/>
    <w:rsid w:val="000F792A"/>
    <w:rsid w:val="000F7A60"/>
    <w:rsid w:val="000F7A91"/>
    <w:rsid w:val="000F7AAF"/>
    <w:rsid w:val="000F7AF1"/>
    <w:rsid w:val="000F7D3D"/>
    <w:rsid w:val="000F7DB9"/>
    <w:rsid w:val="000F7E32"/>
    <w:rsid w:val="000F7F72"/>
    <w:rsid w:val="000F7F9A"/>
    <w:rsid w:val="00100037"/>
    <w:rsid w:val="001001C3"/>
    <w:rsid w:val="0010035B"/>
    <w:rsid w:val="00100396"/>
    <w:rsid w:val="0010042B"/>
    <w:rsid w:val="00100806"/>
    <w:rsid w:val="00100C9F"/>
    <w:rsid w:val="00100D02"/>
    <w:rsid w:val="00100D30"/>
    <w:rsid w:val="00100D6F"/>
    <w:rsid w:val="00100EEE"/>
    <w:rsid w:val="00100F7E"/>
    <w:rsid w:val="00101063"/>
    <w:rsid w:val="0010118D"/>
    <w:rsid w:val="00101191"/>
    <w:rsid w:val="00101362"/>
    <w:rsid w:val="00101424"/>
    <w:rsid w:val="0010149F"/>
    <w:rsid w:val="001014F1"/>
    <w:rsid w:val="00101A0C"/>
    <w:rsid w:val="00101A5E"/>
    <w:rsid w:val="00101C85"/>
    <w:rsid w:val="00101D68"/>
    <w:rsid w:val="00101EA6"/>
    <w:rsid w:val="00101EB2"/>
    <w:rsid w:val="001023EE"/>
    <w:rsid w:val="001024D2"/>
    <w:rsid w:val="001025DE"/>
    <w:rsid w:val="001026EA"/>
    <w:rsid w:val="001028B4"/>
    <w:rsid w:val="00102973"/>
    <w:rsid w:val="00102A85"/>
    <w:rsid w:val="00102DC3"/>
    <w:rsid w:val="00102DEB"/>
    <w:rsid w:val="0010325D"/>
    <w:rsid w:val="00103476"/>
    <w:rsid w:val="00103492"/>
    <w:rsid w:val="00103570"/>
    <w:rsid w:val="00103E58"/>
    <w:rsid w:val="00103FDB"/>
    <w:rsid w:val="00104035"/>
    <w:rsid w:val="00104541"/>
    <w:rsid w:val="001045D5"/>
    <w:rsid w:val="00104696"/>
    <w:rsid w:val="001046E3"/>
    <w:rsid w:val="0010484A"/>
    <w:rsid w:val="00104CC4"/>
    <w:rsid w:val="00104CFF"/>
    <w:rsid w:val="00104EBF"/>
    <w:rsid w:val="00105178"/>
    <w:rsid w:val="00105201"/>
    <w:rsid w:val="00105206"/>
    <w:rsid w:val="00105510"/>
    <w:rsid w:val="001057C4"/>
    <w:rsid w:val="00105B81"/>
    <w:rsid w:val="00105C61"/>
    <w:rsid w:val="00105CDA"/>
    <w:rsid w:val="00105E12"/>
    <w:rsid w:val="00105E22"/>
    <w:rsid w:val="001060E2"/>
    <w:rsid w:val="00106155"/>
    <w:rsid w:val="0010640B"/>
    <w:rsid w:val="001066AD"/>
    <w:rsid w:val="001066E1"/>
    <w:rsid w:val="00106703"/>
    <w:rsid w:val="00106D4D"/>
    <w:rsid w:val="001070D6"/>
    <w:rsid w:val="00107293"/>
    <w:rsid w:val="001074F4"/>
    <w:rsid w:val="00107654"/>
    <w:rsid w:val="00107AB8"/>
    <w:rsid w:val="00107BA4"/>
    <w:rsid w:val="00107CF9"/>
    <w:rsid w:val="00107D5A"/>
    <w:rsid w:val="00107D95"/>
    <w:rsid w:val="00110014"/>
    <w:rsid w:val="001101CB"/>
    <w:rsid w:val="00110286"/>
    <w:rsid w:val="00110416"/>
    <w:rsid w:val="00110561"/>
    <w:rsid w:val="00110ABD"/>
    <w:rsid w:val="00111077"/>
    <w:rsid w:val="001112D8"/>
    <w:rsid w:val="0011132F"/>
    <w:rsid w:val="00111371"/>
    <w:rsid w:val="00111538"/>
    <w:rsid w:val="00111581"/>
    <w:rsid w:val="0011195A"/>
    <w:rsid w:val="00111976"/>
    <w:rsid w:val="00111987"/>
    <w:rsid w:val="00111AD5"/>
    <w:rsid w:val="00111C29"/>
    <w:rsid w:val="00111F29"/>
    <w:rsid w:val="00112381"/>
    <w:rsid w:val="001123AC"/>
    <w:rsid w:val="0011278B"/>
    <w:rsid w:val="001129CE"/>
    <w:rsid w:val="00112AF1"/>
    <w:rsid w:val="00112BCB"/>
    <w:rsid w:val="00112E23"/>
    <w:rsid w:val="00113034"/>
    <w:rsid w:val="00113116"/>
    <w:rsid w:val="001132D9"/>
    <w:rsid w:val="001133A9"/>
    <w:rsid w:val="001134A5"/>
    <w:rsid w:val="001137AF"/>
    <w:rsid w:val="0011387C"/>
    <w:rsid w:val="001138D1"/>
    <w:rsid w:val="001138E5"/>
    <w:rsid w:val="001138EF"/>
    <w:rsid w:val="001139AA"/>
    <w:rsid w:val="00113B78"/>
    <w:rsid w:val="00113CF7"/>
    <w:rsid w:val="00113E23"/>
    <w:rsid w:val="001140BE"/>
    <w:rsid w:val="001141AF"/>
    <w:rsid w:val="0011438A"/>
    <w:rsid w:val="00114514"/>
    <w:rsid w:val="00114663"/>
    <w:rsid w:val="001147A0"/>
    <w:rsid w:val="00114A42"/>
    <w:rsid w:val="00114D91"/>
    <w:rsid w:val="00114E1B"/>
    <w:rsid w:val="00114E6A"/>
    <w:rsid w:val="00115041"/>
    <w:rsid w:val="0011521C"/>
    <w:rsid w:val="00115432"/>
    <w:rsid w:val="00115E90"/>
    <w:rsid w:val="00115FE4"/>
    <w:rsid w:val="0011656E"/>
    <w:rsid w:val="001166C9"/>
    <w:rsid w:val="00116AFC"/>
    <w:rsid w:val="00116D15"/>
    <w:rsid w:val="00116DB3"/>
    <w:rsid w:val="00116FC2"/>
    <w:rsid w:val="00116FD9"/>
    <w:rsid w:val="001175B2"/>
    <w:rsid w:val="0011768A"/>
    <w:rsid w:val="0011794D"/>
    <w:rsid w:val="00117D00"/>
    <w:rsid w:val="00117E83"/>
    <w:rsid w:val="00120117"/>
    <w:rsid w:val="001203FE"/>
    <w:rsid w:val="001205E8"/>
    <w:rsid w:val="001208AE"/>
    <w:rsid w:val="001209D6"/>
    <w:rsid w:val="00120A48"/>
    <w:rsid w:val="00120A70"/>
    <w:rsid w:val="00120AA6"/>
    <w:rsid w:val="00120F7F"/>
    <w:rsid w:val="001210DD"/>
    <w:rsid w:val="00121618"/>
    <w:rsid w:val="001217D1"/>
    <w:rsid w:val="0012181F"/>
    <w:rsid w:val="00121906"/>
    <w:rsid w:val="00121B50"/>
    <w:rsid w:val="00121C7D"/>
    <w:rsid w:val="00121D32"/>
    <w:rsid w:val="00121E93"/>
    <w:rsid w:val="00121EA0"/>
    <w:rsid w:val="00121FDA"/>
    <w:rsid w:val="0012211A"/>
    <w:rsid w:val="001224C8"/>
    <w:rsid w:val="00122830"/>
    <w:rsid w:val="001229CE"/>
    <w:rsid w:val="00122B6D"/>
    <w:rsid w:val="00122BC9"/>
    <w:rsid w:val="00122EEE"/>
    <w:rsid w:val="00122F1E"/>
    <w:rsid w:val="00122F70"/>
    <w:rsid w:val="00123092"/>
    <w:rsid w:val="001232D5"/>
    <w:rsid w:val="0012333F"/>
    <w:rsid w:val="00123344"/>
    <w:rsid w:val="001233E8"/>
    <w:rsid w:val="00123499"/>
    <w:rsid w:val="001234E2"/>
    <w:rsid w:val="00123610"/>
    <w:rsid w:val="00123AB2"/>
    <w:rsid w:val="00123B76"/>
    <w:rsid w:val="00123C07"/>
    <w:rsid w:val="00123CA6"/>
    <w:rsid w:val="00124186"/>
    <w:rsid w:val="001241CE"/>
    <w:rsid w:val="00124491"/>
    <w:rsid w:val="001244C2"/>
    <w:rsid w:val="00124529"/>
    <w:rsid w:val="0012454D"/>
    <w:rsid w:val="00124609"/>
    <w:rsid w:val="0012460D"/>
    <w:rsid w:val="001246B9"/>
    <w:rsid w:val="00124729"/>
    <w:rsid w:val="00124880"/>
    <w:rsid w:val="001248B1"/>
    <w:rsid w:val="0012490F"/>
    <w:rsid w:val="001249CB"/>
    <w:rsid w:val="00124AB4"/>
    <w:rsid w:val="00124CA4"/>
    <w:rsid w:val="00124E4F"/>
    <w:rsid w:val="00124FF6"/>
    <w:rsid w:val="00125009"/>
    <w:rsid w:val="0012507F"/>
    <w:rsid w:val="00125457"/>
    <w:rsid w:val="0012549A"/>
    <w:rsid w:val="00125B99"/>
    <w:rsid w:val="00125D4F"/>
    <w:rsid w:val="00125DE4"/>
    <w:rsid w:val="00125E0C"/>
    <w:rsid w:val="00125EC0"/>
    <w:rsid w:val="00125F14"/>
    <w:rsid w:val="00126325"/>
    <w:rsid w:val="00126388"/>
    <w:rsid w:val="001264CA"/>
    <w:rsid w:val="00126624"/>
    <w:rsid w:val="001267EF"/>
    <w:rsid w:val="001268A1"/>
    <w:rsid w:val="00126940"/>
    <w:rsid w:val="00126ACD"/>
    <w:rsid w:val="00126C1A"/>
    <w:rsid w:val="00126C8B"/>
    <w:rsid w:val="00126F53"/>
    <w:rsid w:val="001272BC"/>
    <w:rsid w:val="0012761E"/>
    <w:rsid w:val="0012799F"/>
    <w:rsid w:val="001279FA"/>
    <w:rsid w:val="00127B0A"/>
    <w:rsid w:val="00127B72"/>
    <w:rsid w:val="00127D12"/>
    <w:rsid w:val="00127D22"/>
    <w:rsid w:val="00127D4D"/>
    <w:rsid w:val="00127E5A"/>
    <w:rsid w:val="00127E78"/>
    <w:rsid w:val="00127FD0"/>
    <w:rsid w:val="00130036"/>
    <w:rsid w:val="0013010C"/>
    <w:rsid w:val="001302E8"/>
    <w:rsid w:val="00130529"/>
    <w:rsid w:val="0013054F"/>
    <w:rsid w:val="00130999"/>
    <w:rsid w:val="00130AC7"/>
    <w:rsid w:val="001310BB"/>
    <w:rsid w:val="00131129"/>
    <w:rsid w:val="00131355"/>
    <w:rsid w:val="0013155E"/>
    <w:rsid w:val="001315E2"/>
    <w:rsid w:val="001316F6"/>
    <w:rsid w:val="0013174A"/>
    <w:rsid w:val="00131BD0"/>
    <w:rsid w:val="00131D4E"/>
    <w:rsid w:val="00131E2D"/>
    <w:rsid w:val="001321D6"/>
    <w:rsid w:val="00132467"/>
    <w:rsid w:val="00132A3A"/>
    <w:rsid w:val="00132BBE"/>
    <w:rsid w:val="00132E2E"/>
    <w:rsid w:val="001334B3"/>
    <w:rsid w:val="0013352C"/>
    <w:rsid w:val="00133AD1"/>
    <w:rsid w:val="00133AD9"/>
    <w:rsid w:val="00133ED1"/>
    <w:rsid w:val="001342A6"/>
    <w:rsid w:val="001343C1"/>
    <w:rsid w:val="00134447"/>
    <w:rsid w:val="0013480F"/>
    <w:rsid w:val="0013481A"/>
    <w:rsid w:val="001348A0"/>
    <w:rsid w:val="0013494E"/>
    <w:rsid w:val="00134A70"/>
    <w:rsid w:val="00134A81"/>
    <w:rsid w:val="00134C06"/>
    <w:rsid w:val="00134C5E"/>
    <w:rsid w:val="00134E53"/>
    <w:rsid w:val="0013550D"/>
    <w:rsid w:val="0013564D"/>
    <w:rsid w:val="001358C1"/>
    <w:rsid w:val="001359AA"/>
    <w:rsid w:val="00135B8E"/>
    <w:rsid w:val="00135C63"/>
    <w:rsid w:val="00135CD6"/>
    <w:rsid w:val="00136406"/>
    <w:rsid w:val="0013640E"/>
    <w:rsid w:val="00136538"/>
    <w:rsid w:val="00136E68"/>
    <w:rsid w:val="00136EA6"/>
    <w:rsid w:val="00137065"/>
    <w:rsid w:val="00137126"/>
    <w:rsid w:val="00137130"/>
    <w:rsid w:val="001371E9"/>
    <w:rsid w:val="0013722F"/>
    <w:rsid w:val="0013737F"/>
    <w:rsid w:val="00137484"/>
    <w:rsid w:val="0013759B"/>
    <w:rsid w:val="001375E6"/>
    <w:rsid w:val="001377F3"/>
    <w:rsid w:val="00137817"/>
    <w:rsid w:val="001378ED"/>
    <w:rsid w:val="0013796D"/>
    <w:rsid w:val="001379BF"/>
    <w:rsid w:val="00137E65"/>
    <w:rsid w:val="00137E8C"/>
    <w:rsid w:val="00137F08"/>
    <w:rsid w:val="00137F29"/>
    <w:rsid w:val="001400D5"/>
    <w:rsid w:val="001401C4"/>
    <w:rsid w:val="001401E0"/>
    <w:rsid w:val="0014021B"/>
    <w:rsid w:val="00140355"/>
    <w:rsid w:val="00140748"/>
    <w:rsid w:val="0014094A"/>
    <w:rsid w:val="0014096D"/>
    <w:rsid w:val="001409FF"/>
    <w:rsid w:val="00140A0F"/>
    <w:rsid w:val="00140CF6"/>
    <w:rsid w:val="00140DEC"/>
    <w:rsid w:val="00141334"/>
    <w:rsid w:val="00141577"/>
    <w:rsid w:val="00141859"/>
    <w:rsid w:val="0014198D"/>
    <w:rsid w:val="001419B2"/>
    <w:rsid w:val="00141DA1"/>
    <w:rsid w:val="00141E56"/>
    <w:rsid w:val="00141F76"/>
    <w:rsid w:val="00141FA5"/>
    <w:rsid w:val="00142122"/>
    <w:rsid w:val="00142473"/>
    <w:rsid w:val="0014256B"/>
    <w:rsid w:val="001425E8"/>
    <w:rsid w:val="0014267A"/>
    <w:rsid w:val="0014279D"/>
    <w:rsid w:val="00142C8C"/>
    <w:rsid w:val="00142E1E"/>
    <w:rsid w:val="00143321"/>
    <w:rsid w:val="00143716"/>
    <w:rsid w:val="001439CB"/>
    <w:rsid w:val="00143B2C"/>
    <w:rsid w:val="00143D97"/>
    <w:rsid w:val="00143E0E"/>
    <w:rsid w:val="001444EB"/>
    <w:rsid w:val="001445D8"/>
    <w:rsid w:val="001448F5"/>
    <w:rsid w:val="001449DA"/>
    <w:rsid w:val="00144B62"/>
    <w:rsid w:val="00144D95"/>
    <w:rsid w:val="00144F49"/>
    <w:rsid w:val="00145907"/>
    <w:rsid w:val="0014596A"/>
    <w:rsid w:val="001459C0"/>
    <w:rsid w:val="001459FC"/>
    <w:rsid w:val="00145C67"/>
    <w:rsid w:val="00145E1E"/>
    <w:rsid w:val="00145FC2"/>
    <w:rsid w:val="0014621E"/>
    <w:rsid w:val="00146599"/>
    <w:rsid w:val="001467EA"/>
    <w:rsid w:val="00146872"/>
    <w:rsid w:val="0014690E"/>
    <w:rsid w:val="00146962"/>
    <w:rsid w:val="00146A8E"/>
    <w:rsid w:val="00146AEC"/>
    <w:rsid w:val="00146B5D"/>
    <w:rsid w:val="00146B78"/>
    <w:rsid w:val="00146DAC"/>
    <w:rsid w:val="00146DF0"/>
    <w:rsid w:val="00146E72"/>
    <w:rsid w:val="0014750C"/>
    <w:rsid w:val="00147559"/>
    <w:rsid w:val="00147757"/>
    <w:rsid w:val="00147A2A"/>
    <w:rsid w:val="00147A6B"/>
    <w:rsid w:val="00147EC6"/>
    <w:rsid w:val="00147EEB"/>
    <w:rsid w:val="00147FCF"/>
    <w:rsid w:val="001500EB"/>
    <w:rsid w:val="00150156"/>
    <w:rsid w:val="001501F4"/>
    <w:rsid w:val="001504B8"/>
    <w:rsid w:val="0015080D"/>
    <w:rsid w:val="00150B01"/>
    <w:rsid w:val="00150B6B"/>
    <w:rsid w:val="00150CA8"/>
    <w:rsid w:val="00150CC8"/>
    <w:rsid w:val="00150EAF"/>
    <w:rsid w:val="00150ECC"/>
    <w:rsid w:val="00150EEE"/>
    <w:rsid w:val="001510C6"/>
    <w:rsid w:val="0015173F"/>
    <w:rsid w:val="001518AC"/>
    <w:rsid w:val="001519B6"/>
    <w:rsid w:val="00151BFF"/>
    <w:rsid w:val="00151C79"/>
    <w:rsid w:val="00151D35"/>
    <w:rsid w:val="00151F7B"/>
    <w:rsid w:val="001520D5"/>
    <w:rsid w:val="001521E5"/>
    <w:rsid w:val="00152340"/>
    <w:rsid w:val="00152341"/>
    <w:rsid w:val="001524F1"/>
    <w:rsid w:val="001525CC"/>
    <w:rsid w:val="001525E8"/>
    <w:rsid w:val="00152604"/>
    <w:rsid w:val="00152698"/>
    <w:rsid w:val="001526DE"/>
    <w:rsid w:val="0015283A"/>
    <w:rsid w:val="00152999"/>
    <w:rsid w:val="00152F76"/>
    <w:rsid w:val="0015309F"/>
    <w:rsid w:val="00153155"/>
    <w:rsid w:val="00153354"/>
    <w:rsid w:val="0015365D"/>
    <w:rsid w:val="0015373B"/>
    <w:rsid w:val="001539C4"/>
    <w:rsid w:val="00153A25"/>
    <w:rsid w:val="00153D64"/>
    <w:rsid w:val="00154108"/>
    <w:rsid w:val="00154121"/>
    <w:rsid w:val="0015429C"/>
    <w:rsid w:val="001542F1"/>
    <w:rsid w:val="0015435F"/>
    <w:rsid w:val="001543A1"/>
    <w:rsid w:val="00154483"/>
    <w:rsid w:val="00154929"/>
    <w:rsid w:val="00154C9F"/>
    <w:rsid w:val="00154CAD"/>
    <w:rsid w:val="00154CDF"/>
    <w:rsid w:val="00154D83"/>
    <w:rsid w:val="001551C1"/>
    <w:rsid w:val="00155235"/>
    <w:rsid w:val="00155445"/>
    <w:rsid w:val="00155621"/>
    <w:rsid w:val="00155917"/>
    <w:rsid w:val="00155A37"/>
    <w:rsid w:val="00155B32"/>
    <w:rsid w:val="00155BE3"/>
    <w:rsid w:val="00155CC1"/>
    <w:rsid w:val="0015614B"/>
    <w:rsid w:val="00156BD2"/>
    <w:rsid w:val="00156E39"/>
    <w:rsid w:val="00156F0C"/>
    <w:rsid w:val="00156F2B"/>
    <w:rsid w:val="00157214"/>
    <w:rsid w:val="00157231"/>
    <w:rsid w:val="0015743F"/>
    <w:rsid w:val="001577CB"/>
    <w:rsid w:val="00157A04"/>
    <w:rsid w:val="00157B10"/>
    <w:rsid w:val="00157B8E"/>
    <w:rsid w:val="00157B97"/>
    <w:rsid w:val="00157D56"/>
    <w:rsid w:val="00157E72"/>
    <w:rsid w:val="00157E74"/>
    <w:rsid w:val="001600AC"/>
    <w:rsid w:val="0016014C"/>
    <w:rsid w:val="0016020B"/>
    <w:rsid w:val="00160341"/>
    <w:rsid w:val="00160343"/>
    <w:rsid w:val="00160357"/>
    <w:rsid w:val="001603A3"/>
    <w:rsid w:val="001603DD"/>
    <w:rsid w:val="0016041D"/>
    <w:rsid w:val="0016060B"/>
    <w:rsid w:val="00160862"/>
    <w:rsid w:val="0016097D"/>
    <w:rsid w:val="00160B7C"/>
    <w:rsid w:val="00160BAC"/>
    <w:rsid w:val="00160C57"/>
    <w:rsid w:val="00160C90"/>
    <w:rsid w:val="00160D24"/>
    <w:rsid w:val="00160DDE"/>
    <w:rsid w:val="00161174"/>
    <w:rsid w:val="001612CB"/>
    <w:rsid w:val="001613A9"/>
    <w:rsid w:val="001615E7"/>
    <w:rsid w:val="00161A1D"/>
    <w:rsid w:val="00161B09"/>
    <w:rsid w:val="00161B2C"/>
    <w:rsid w:val="00161B4E"/>
    <w:rsid w:val="00161BBE"/>
    <w:rsid w:val="00161D6A"/>
    <w:rsid w:val="00161E5B"/>
    <w:rsid w:val="00162091"/>
    <w:rsid w:val="00162132"/>
    <w:rsid w:val="001623C0"/>
    <w:rsid w:val="001624B1"/>
    <w:rsid w:val="001629DB"/>
    <w:rsid w:val="00162A25"/>
    <w:rsid w:val="00162CBB"/>
    <w:rsid w:val="00162DA4"/>
    <w:rsid w:val="00162DBA"/>
    <w:rsid w:val="00162E53"/>
    <w:rsid w:val="00163069"/>
    <w:rsid w:val="00163086"/>
    <w:rsid w:val="00163281"/>
    <w:rsid w:val="00163334"/>
    <w:rsid w:val="0016355F"/>
    <w:rsid w:val="0016371F"/>
    <w:rsid w:val="00163802"/>
    <w:rsid w:val="00163ADC"/>
    <w:rsid w:val="00163BD0"/>
    <w:rsid w:val="00163BED"/>
    <w:rsid w:val="00163D6C"/>
    <w:rsid w:val="00163E3C"/>
    <w:rsid w:val="00163EBC"/>
    <w:rsid w:val="0016422D"/>
    <w:rsid w:val="00164254"/>
    <w:rsid w:val="001644D5"/>
    <w:rsid w:val="00164563"/>
    <w:rsid w:val="00164A8B"/>
    <w:rsid w:val="00164ACA"/>
    <w:rsid w:val="00164AF2"/>
    <w:rsid w:val="00164F4A"/>
    <w:rsid w:val="00164F4E"/>
    <w:rsid w:val="00165284"/>
    <w:rsid w:val="001652AF"/>
    <w:rsid w:val="0016530A"/>
    <w:rsid w:val="001653C7"/>
    <w:rsid w:val="0016540C"/>
    <w:rsid w:val="00165482"/>
    <w:rsid w:val="001654A7"/>
    <w:rsid w:val="00165550"/>
    <w:rsid w:val="00165565"/>
    <w:rsid w:val="001655C7"/>
    <w:rsid w:val="0016592B"/>
    <w:rsid w:val="00165A20"/>
    <w:rsid w:val="00165A56"/>
    <w:rsid w:val="00165C04"/>
    <w:rsid w:val="00165C5B"/>
    <w:rsid w:val="00165F23"/>
    <w:rsid w:val="001661B3"/>
    <w:rsid w:val="0016629C"/>
    <w:rsid w:val="00166652"/>
    <w:rsid w:val="001667C6"/>
    <w:rsid w:val="001669BE"/>
    <w:rsid w:val="00166DED"/>
    <w:rsid w:val="00166E12"/>
    <w:rsid w:val="0016719A"/>
    <w:rsid w:val="00167437"/>
    <w:rsid w:val="001674DA"/>
    <w:rsid w:val="001674F6"/>
    <w:rsid w:val="00167527"/>
    <w:rsid w:val="001676A1"/>
    <w:rsid w:val="00167720"/>
    <w:rsid w:val="00167CFD"/>
    <w:rsid w:val="00167F37"/>
    <w:rsid w:val="0017000A"/>
    <w:rsid w:val="001700D6"/>
    <w:rsid w:val="001700EE"/>
    <w:rsid w:val="00170124"/>
    <w:rsid w:val="00170428"/>
    <w:rsid w:val="001704DC"/>
    <w:rsid w:val="00170531"/>
    <w:rsid w:val="00170661"/>
    <w:rsid w:val="0017074A"/>
    <w:rsid w:val="0017090F"/>
    <w:rsid w:val="001709BE"/>
    <w:rsid w:val="00170AD8"/>
    <w:rsid w:val="00170BD6"/>
    <w:rsid w:val="0017109E"/>
    <w:rsid w:val="001713C9"/>
    <w:rsid w:val="001713FA"/>
    <w:rsid w:val="0017169D"/>
    <w:rsid w:val="00171704"/>
    <w:rsid w:val="00171866"/>
    <w:rsid w:val="00171893"/>
    <w:rsid w:val="00171948"/>
    <w:rsid w:val="00171D86"/>
    <w:rsid w:val="00172272"/>
    <w:rsid w:val="00172361"/>
    <w:rsid w:val="00172516"/>
    <w:rsid w:val="001728B1"/>
    <w:rsid w:val="00172A0B"/>
    <w:rsid w:val="00172FDB"/>
    <w:rsid w:val="00173035"/>
    <w:rsid w:val="00173073"/>
    <w:rsid w:val="00173105"/>
    <w:rsid w:val="001733FA"/>
    <w:rsid w:val="001735E4"/>
    <w:rsid w:val="0017389E"/>
    <w:rsid w:val="00173918"/>
    <w:rsid w:val="00173A25"/>
    <w:rsid w:val="00173DD8"/>
    <w:rsid w:val="00173E21"/>
    <w:rsid w:val="0017454B"/>
    <w:rsid w:val="00174625"/>
    <w:rsid w:val="001747AC"/>
    <w:rsid w:val="0017485D"/>
    <w:rsid w:val="00174D69"/>
    <w:rsid w:val="00174E44"/>
    <w:rsid w:val="00175021"/>
    <w:rsid w:val="001752C8"/>
    <w:rsid w:val="001753A2"/>
    <w:rsid w:val="0017588B"/>
    <w:rsid w:val="001758B9"/>
    <w:rsid w:val="00175A1A"/>
    <w:rsid w:val="00175AD6"/>
    <w:rsid w:val="0017604D"/>
    <w:rsid w:val="00176278"/>
    <w:rsid w:val="00176355"/>
    <w:rsid w:val="00176475"/>
    <w:rsid w:val="00176660"/>
    <w:rsid w:val="0017675E"/>
    <w:rsid w:val="0017693D"/>
    <w:rsid w:val="00176A3C"/>
    <w:rsid w:val="00176C5C"/>
    <w:rsid w:val="00176E15"/>
    <w:rsid w:val="001770B6"/>
    <w:rsid w:val="0017727D"/>
    <w:rsid w:val="001773DA"/>
    <w:rsid w:val="00177740"/>
    <w:rsid w:val="00177871"/>
    <w:rsid w:val="001778A8"/>
    <w:rsid w:val="001778BF"/>
    <w:rsid w:val="00177A62"/>
    <w:rsid w:val="00177CF5"/>
    <w:rsid w:val="00177DA7"/>
    <w:rsid w:val="00177DDF"/>
    <w:rsid w:val="00177EDF"/>
    <w:rsid w:val="001801C2"/>
    <w:rsid w:val="00180271"/>
    <w:rsid w:val="001802B5"/>
    <w:rsid w:val="001803E2"/>
    <w:rsid w:val="0018051D"/>
    <w:rsid w:val="00180693"/>
    <w:rsid w:val="00180845"/>
    <w:rsid w:val="00180868"/>
    <w:rsid w:val="00180E8A"/>
    <w:rsid w:val="001811C8"/>
    <w:rsid w:val="001813CC"/>
    <w:rsid w:val="00181542"/>
    <w:rsid w:val="001815A2"/>
    <w:rsid w:val="0018160C"/>
    <w:rsid w:val="0018161E"/>
    <w:rsid w:val="001816EA"/>
    <w:rsid w:val="00181E69"/>
    <w:rsid w:val="001823DF"/>
    <w:rsid w:val="001826CC"/>
    <w:rsid w:val="001828D9"/>
    <w:rsid w:val="00182C02"/>
    <w:rsid w:val="00182CB9"/>
    <w:rsid w:val="00182EB3"/>
    <w:rsid w:val="001830C0"/>
    <w:rsid w:val="00183236"/>
    <w:rsid w:val="0018336E"/>
    <w:rsid w:val="00183409"/>
    <w:rsid w:val="001834F5"/>
    <w:rsid w:val="00183DBD"/>
    <w:rsid w:val="00183E1E"/>
    <w:rsid w:val="00184056"/>
    <w:rsid w:val="00184231"/>
    <w:rsid w:val="00184547"/>
    <w:rsid w:val="00184B17"/>
    <w:rsid w:val="00184C10"/>
    <w:rsid w:val="00184DB2"/>
    <w:rsid w:val="00184DCF"/>
    <w:rsid w:val="00184E44"/>
    <w:rsid w:val="0018508B"/>
    <w:rsid w:val="00185230"/>
    <w:rsid w:val="001853BB"/>
    <w:rsid w:val="00185598"/>
    <w:rsid w:val="0018579A"/>
    <w:rsid w:val="0018599F"/>
    <w:rsid w:val="00185ADC"/>
    <w:rsid w:val="00185BB8"/>
    <w:rsid w:val="0018628D"/>
    <w:rsid w:val="00186583"/>
    <w:rsid w:val="00186807"/>
    <w:rsid w:val="001868A7"/>
    <w:rsid w:val="001868D3"/>
    <w:rsid w:val="00186CAF"/>
    <w:rsid w:val="00186D67"/>
    <w:rsid w:val="00186DF9"/>
    <w:rsid w:val="0018748C"/>
    <w:rsid w:val="0018757D"/>
    <w:rsid w:val="00187A8B"/>
    <w:rsid w:val="00187B0A"/>
    <w:rsid w:val="00187D96"/>
    <w:rsid w:val="00187DFF"/>
    <w:rsid w:val="0019035C"/>
    <w:rsid w:val="001904BF"/>
    <w:rsid w:val="001905E5"/>
    <w:rsid w:val="00190A8C"/>
    <w:rsid w:val="00190A96"/>
    <w:rsid w:val="00190B34"/>
    <w:rsid w:val="0019125E"/>
    <w:rsid w:val="00191422"/>
    <w:rsid w:val="001915ED"/>
    <w:rsid w:val="001915F0"/>
    <w:rsid w:val="00191628"/>
    <w:rsid w:val="00191778"/>
    <w:rsid w:val="00191950"/>
    <w:rsid w:val="00191981"/>
    <w:rsid w:val="00191E32"/>
    <w:rsid w:val="00191EA1"/>
    <w:rsid w:val="0019229F"/>
    <w:rsid w:val="001925F2"/>
    <w:rsid w:val="00192643"/>
    <w:rsid w:val="00192C7B"/>
    <w:rsid w:val="00192CC8"/>
    <w:rsid w:val="00192D9A"/>
    <w:rsid w:val="00192DBD"/>
    <w:rsid w:val="00192FD6"/>
    <w:rsid w:val="00192FFD"/>
    <w:rsid w:val="001930A8"/>
    <w:rsid w:val="001931B6"/>
    <w:rsid w:val="0019380B"/>
    <w:rsid w:val="00193B0D"/>
    <w:rsid w:val="00193C0B"/>
    <w:rsid w:val="00193F42"/>
    <w:rsid w:val="00194131"/>
    <w:rsid w:val="001941E0"/>
    <w:rsid w:val="00194216"/>
    <w:rsid w:val="001944DE"/>
    <w:rsid w:val="001945D4"/>
    <w:rsid w:val="001946E7"/>
    <w:rsid w:val="001949E6"/>
    <w:rsid w:val="00194AB8"/>
    <w:rsid w:val="00194CA0"/>
    <w:rsid w:val="00194DF5"/>
    <w:rsid w:val="00194ED3"/>
    <w:rsid w:val="00194F1C"/>
    <w:rsid w:val="0019514D"/>
    <w:rsid w:val="00195166"/>
    <w:rsid w:val="001952E0"/>
    <w:rsid w:val="0019533B"/>
    <w:rsid w:val="00195379"/>
    <w:rsid w:val="001953B4"/>
    <w:rsid w:val="001954A1"/>
    <w:rsid w:val="0019575E"/>
    <w:rsid w:val="0019594F"/>
    <w:rsid w:val="00195971"/>
    <w:rsid w:val="00195AE2"/>
    <w:rsid w:val="00195E1C"/>
    <w:rsid w:val="001962C4"/>
    <w:rsid w:val="00196394"/>
    <w:rsid w:val="00196826"/>
    <w:rsid w:val="00196D8D"/>
    <w:rsid w:val="00196ED2"/>
    <w:rsid w:val="0019733B"/>
    <w:rsid w:val="00197422"/>
    <w:rsid w:val="0019742D"/>
    <w:rsid w:val="001976E6"/>
    <w:rsid w:val="00197780"/>
    <w:rsid w:val="0019793E"/>
    <w:rsid w:val="0019797E"/>
    <w:rsid w:val="00197990"/>
    <w:rsid w:val="00197A36"/>
    <w:rsid w:val="00197BA5"/>
    <w:rsid w:val="00197BDC"/>
    <w:rsid w:val="00197D3E"/>
    <w:rsid w:val="00197EF5"/>
    <w:rsid w:val="00197F71"/>
    <w:rsid w:val="001A006E"/>
    <w:rsid w:val="001A0137"/>
    <w:rsid w:val="001A044E"/>
    <w:rsid w:val="001A057C"/>
    <w:rsid w:val="001A05A5"/>
    <w:rsid w:val="001A05FE"/>
    <w:rsid w:val="001A08DD"/>
    <w:rsid w:val="001A08F6"/>
    <w:rsid w:val="001A0AB9"/>
    <w:rsid w:val="001A0C82"/>
    <w:rsid w:val="001A10F3"/>
    <w:rsid w:val="001A153F"/>
    <w:rsid w:val="001A15EC"/>
    <w:rsid w:val="001A17FB"/>
    <w:rsid w:val="001A1841"/>
    <w:rsid w:val="001A1D84"/>
    <w:rsid w:val="001A1E76"/>
    <w:rsid w:val="001A1E8E"/>
    <w:rsid w:val="001A237F"/>
    <w:rsid w:val="001A2881"/>
    <w:rsid w:val="001A2BB4"/>
    <w:rsid w:val="001A2F3A"/>
    <w:rsid w:val="001A30F0"/>
    <w:rsid w:val="001A318C"/>
    <w:rsid w:val="001A32B7"/>
    <w:rsid w:val="001A3346"/>
    <w:rsid w:val="001A3408"/>
    <w:rsid w:val="001A383F"/>
    <w:rsid w:val="001A38EF"/>
    <w:rsid w:val="001A3AE2"/>
    <w:rsid w:val="001A3B2A"/>
    <w:rsid w:val="001A3CD7"/>
    <w:rsid w:val="001A41E3"/>
    <w:rsid w:val="001A42C8"/>
    <w:rsid w:val="001A4499"/>
    <w:rsid w:val="001A458E"/>
    <w:rsid w:val="001A4733"/>
    <w:rsid w:val="001A488E"/>
    <w:rsid w:val="001A499A"/>
    <w:rsid w:val="001A49F6"/>
    <w:rsid w:val="001A4A55"/>
    <w:rsid w:val="001A4A88"/>
    <w:rsid w:val="001A4B0A"/>
    <w:rsid w:val="001A4BDA"/>
    <w:rsid w:val="001A4FFB"/>
    <w:rsid w:val="001A528A"/>
    <w:rsid w:val="001A5497"/>
    <w:rsid w:val="001A54F0"/>
    <w:rsid w:val="001A54FC"/>
    <w:rsid w:val="001A5547"/>
    <w:rsid w:val="001A56C4"/>
    <w:rsid w:val="001A5871"/>
    <w:rsid w:val="001A59DC"/>
    <w:rsid w:val="001A5BC0"/>
    <w:rsid w:val="001A5BEF"/>
    <w:rsid w:val="001A5CE5"/>
    <w:rsid w:val="001A5DA4"/>
    <w:rsid w:val="001A63E5"/>
    <w:rsid w:val="001A644A"/>
    <w:rsid w:val="001A64D8"/>
    <w:rsid w:val="001A6649"/>
    <w:rsid w:val="001A679B"/>
    <w:rsid w:val="001A67AF"/>
    <w:rsid w:val="001A698F"/>
    <w:rsid w:val="001A6992"/>
    <w:rsid w:val="001A6BE4"/>
    <w:rsid w:val="001A6C45"/>
    <w:rsid w:val="001A6E69"/>
    <w:rsid w:val="001A6FFA"/>
    <w:rsid w:val="001A7001"/>
    <w:rsid w:val="001A71E2"/>
    <w:rsid w:val="001A7271"/>
    <w:rsid w:val="001A7511"/>
    <w:rsid w:val="001A7BBB"/>
    <w:rsid w:val="001A7EC5"/>
    <w:rsid w:val="001A7F22"/>
    <w:rsid w:val="001B0022"/>
    <w:rsid w:val="001B02AB"/>
    <w:rsid w:val="001B052F"/>
    <w:rsid w:val="001B0549"/>
    <w:rsid w:val="001B0967"/>
    <w:rsid w:val="001B0B08"/>
    <w:rsid w:val="001B0B1A"/>
    <w:rsid w:val="001B102E"/>
    <w:rsid w:val="001B1058"/>
    <w:rsid w:val="001B12BD"/>
    <w:rsid w:val="001B149C"/>
    <w:rsid w:val="001B165C"/>
    <w:rsid w:val="001B1B3C"/>
    <w:rsid w:val="001B1C54"/>
    <w:rsid w:val="001B1E07"/>
    <w:rsid w:val="001B20E2"/>
    <w:rsid w:val="001B2170"/>
    <w:rsid w:val="001B23E1"/>
    <w:rsid w:val="001B2746"/>
    <w:rsid w:val="001B2944"/>
    <w:rsid w:val="001B29A8"/>
    <w:rsid w:val="001B29AA"/>
    <w:rsid w:val="001B29C6"/>
    <w:rsid w:val="001B2E09"/>
    <w:rsid w:val="001B2F0E"/>
    <w:rsid w:val="001B3029"/>
    <w:rsid w:val="001B3271"/>
    <w:rsid w:val="001B32A4"/>
    <w:rsid w:val="001B352C"/>
    <w:rsid w:val="001B38C6"/>
    <w:rsid w:val="001B3B08"/>
    <w:rsid w:val="001B3C2F"/>
    <w:rsid w:val="001B405D"/>
    <w:rsid w:val="001B433F"/>
    <w:rsid w:val="001B448A"/>
    <w:rsid w:val="001B45DD"/>
    <w:rsid w:val="001B483E"/>
    <w:rsid w:val="001B4BD0"/>
    <w:rsid w:val="001B4DC4"/>
    <w:rsid w:val="001B4F77"/>
    <w:rsid w:val="001B505F"/>
    <w:rsid w:val="001B5093"/>
    <w:rsid w:val="001B520B"/>
    <w:rsid w:val="001B5306"/>
    <w:rsid w:val="001B5520"/>
    <w:rsid w:val="001B55DE"/>
    <w:rsid w:val="001B55FA"/>
    <w:rsid w:val="001B5812"/>
    <w:rsid w:val="001B5886"/>
    <w:rsid w:val="001B5962"/>
    <w:rsid w:val="001B5C65"/>
    <w:rsid w:val="001B5D6E"/>
    <w:rsid w:val="001B5E60"/>
    <w:rsid w:val="001B5E6E"/>
    <w:rsid w:val="001B5E8F"/>
    <w:rsid w:val="001B5ED3"/>
    <w:rsid w:val="001B610F"/>
    <w:rsid w:val="001B6297"/>
    <w:rsid w:val="001B6432"/>
    <w:rsid w:val="001B652B"/>
    <w:rsid w:val="001B6558"/>
    <w:rsid w:val="001B66C4"/>
    <w:rsid w:val="001B69B0"/>
    <w:rsid w:val="001B6E72"/>
    <w:rsid w:val="001B6E90"/>
    <w:rsid w:val="001B713B"/>
    <w:rsid w:val="001B718B"/>
    <w:rsid w:val="001B730E"/>
    <w:rsid w:val="001B7421"/>
    <w:rsid w:val="001B74F7"/>
    <w:rsid w:val="001B75BC"/>
    <w:rsid w:val="001B75E2"/>
    <w:rsid w:val="001B788B"/>
    <w:rsid w:val="001B79FC"/>
    <w:rsid w:val="001C03AF"/>
    <w:rsid w:val="001C0585"/>
    <w:rsid w:val="001C0678"/>
    <w:rsid w:val="001C06A7"/>
    <w:rsid w:val="001C06E1"/>
    <w:rsid w:val="001C0772"/>
    <w:rsid w:val="001C0A27"/>
    <w:rsid w:val="001C0D70"/>
    <w:rsid w:val="001C0F05"/>
    <w:rsid w:val="001C119D"/>
    <w:rsid w:val="001C12B0"/>
    <w:rsid w:val="001C1320"/>
    <w:rsid w:val="001C138D"/>
    <w:rsid w:val="001C13C9"/>
    <w:rsid w:val="001C164E"/>
    <w:rsid w:val="001C16E0"/>
    <w:rsid w:val="001C184F"/>
    <w:rsid w:val="001C1879"/>
    <w:rsid w:val="001C18B7"/>
    <w:rsid w:val="001C18D8"/>
    <w:rsid w:val="001C1AC3"/>
    <w:rsid w:val="001C1B83"/>
    <w:rsid w:val="001C1B8A"/>
    <w:rsid w:val="001C1BA8"/>
    <w:rsid w:val="001C1CEB"/>
    <w:rsid w:val="001C20F1"/>
    <w:rsid w:val="001C21EA"/>
    <w:rsid w:val="001C2226"/>
    <w:rsid w:val="001C22D0"/>
    <w:rsid w:val="001C24A7"/>
    <w:rsid w:val="001C2C89"/>
    <w:rsid w:val="001C2DA1"/>
    <w:rsid w:val="001C2E62"/>
    <w:rsid w:val="001C2FD9"/>
    <w:rsid w:val="001C3166"/>
    <w:rsid w:val="001C327B"/>
    <w:rsid w:val="001C34FE"/>
    <w:rsid w:val="001C3569"/>
    <w:rsid w:val="001C362A"/>
    <w:rsid w:val="001C37F0"/>
    <w:rsid w:val="001C39C7"/>
    <w:rsid w:val="001C3C51"/>
    <w:rsid w:val="001C3D09"/>
    <w:rsid w:val="001C3D45"/>
    <w:rsid w:val="001C3DE4"/>
    <w:rsid w:val="001C3DF8"/>
    <w:rsid w:val="001C4213"/>
    <w:rsid w:val="001C42A2"/>
    <w:rsid w:val="001C44C9"/>
    <w:rsid w:val="001C4523"/>
    <w:rsid w:val="001C494B"/>
    <w:rsid w:val="001C49CC"/>
    <w:rsid w:val="001C4D1F"/>
    <w:rsid w:val="001C5001"/>
    <w:rsid w:val="001C54AF"/>
    <w:rsid w:val="001C572D"/>
    <w:rsid w:val="001C5926"/>
    <w:rsid w:val="001C5991"/>
    <w:rsid w:val="001C5CAE"/>
    <w:rsid w:val="001C5D86"/>
    <w:rsid w:val="001C5EBF"/>
    <w:rsid w:val="001C5EC6"/>
    <w:rsid w:val="001C60C1"/>
    <w:rsid w:val="001C60ED"/>
    <w:rsid w:val="001C62B4"/>
    <w:rsid w:val="001C63C2"/>
    <w:rsid w:val="001C63C5"/>
    <w:rsid w:val="001C64AA"/>
    <w:rsid w:val="001C6523"/>
    <w:rsid w:val="001C6796"/>
    <w:rsid w:val="001C698C"/>
    <w:rsid w:val="001C698D"/>
    <w:rsid w:val="001C6AAE"/>
    <w:rsid w:val="001C6AC5"/>
    <w:rsid w:val="001C6BD5"/>
    <w:rsid w:val="001C6DA3"/>
    <w:rsid w:val="001C6F1E"/>
    <w:rsid w:val="001C7098"/>
    <w:rsid w:val="001C7165"/>
    <w:rsid w:val="001C7413"/>
    <w:rsid w:val="001C7818"/>
    <w:rsid w:val="001C7879"/>
    <w:rsid w:val="001C7C07"/>
    <w:rsid w:val="001C7E6E"/>
    <w:rsid w:val="001C7EBE"/>
    <w:rsid w:val="001C7F7F"/>
    <w:rsid w:val="001D01F4"/>
    <w:rsid w:val="001D0272"/>
    <w:rsid w:val="001D028A"/>
    <w:rsid w:val="001D03EC"/>
    <w:rsid w:val="001D05F4"/>
    <w:rsid w:val="001D0665"/>
    <w:rsid w:val="001D0C3E"/>
    <w:rsid w:val="001D0CD2"/>
    <w:rsid w:val="001D0D7B"/>
    <w:rsid w:val="001D12D4"/>
    <w:rsid w:val="001D13D4"/>
    <w:rsid w:val="001D17CE"/>
    <w:rsid w:val="001D1A89"/>
    <w:rsid w:val="001D1F6E"/>
    <w:rsid w:val="001D21D8"/>
    <w:rsid w:val="001D22C1"/>
    <w:rsid w:val="001D2341"/>
    <w:rsid w:val="001D2419"/>
    <w:rsid w:val="001D248A"/>
    <w:rsid w:val="001D251F"/>
    <w:rsid w:val="001D2592"/>
    <w:rsid w:val="001D2766"/>
    <w:rsid w:val="001D2830"/>
    <w:rsid w:val="001D291B"/>
    <w:rsid w:val="001D2941"/>
    <w:rsid w:val="001D2AA4"/>
    <w:rsid w:val="001D2B34"/>
    <w:rsid w:val="001D2C5D"/>
    <w:rsid w:val="001D2D0E"/>
    <w:rsid w:val="001D2D17"/>
    <w:rsid w:val="001D2DEE"/>
    <w:rsid w:val="001D2EBC"/>
    <w:rsid w:val="001D314A"/>
    <w:rsid w:val="001D31A9"/>
    <w:rsid w:val="001D33DB"/>
    <w:rsid w:val="001D3443"/>
    <w:rsid w:val="001D3665"/>
    <w:rsid w:val="001D37BF"/>
    <w:rsid w:val="001D3856"/>
    <w:rsid w:val="001D3A07"/>
    <w:rsid w:val="001D3A36"/>
    <w:rsid w:val="001D3B40"/>
    <w:rsid w:val="001D3D4F"/>
    <w:rsid w:val="001D40B6"/>
    <w:rsid w:val="001D40C2"/>
    <w:rsid w:val="001D43EF"/>
    <w:rsid w:val="001D456A"/>
    <w:rsid w:val="001D46B5"/>
    <w:rsid w:val="001D4713"/>
    <w:rsid w:val="001D485B"/>
    <w:rsid w:val="001D48CE"/>
    <w:rsid w:val="001D49E3"/>
    <w:rsid w:val="001D4A2F"/>
    <w:rsid w:val="001D4A5B"/>
    <w:rsid w:val="001D4AC4"/>
    <w:rsid w:val="001D4B08"/>
    <w:rsid w:val="001D4BE7"/>
    <w:rsid w:val="001D4D5E"/>
    <w:rsid w:val="001D4F3C"/>
    <w:rsid w:val="001D500B"/>
    <w:rsid w:val="001D521E"/>
    <w:rsid w:val="001D53ED"/>
    <w:rsid w:val="001D5415"/>
    <w:rsid w:val="001D5605"/>
    <w:rsid w:val="001D5747"/>
    <w:rsid w:val="001D592E"/>
    <w:rsid w:val="001D59FF"/>
    <w:rsid w:val="001D5C47"/>
    <w:rsid w:val="001D5F36"/>
    <w:rsid w:val="001D6061"/>
    <w:rsid w:val="001D61D6"/>
    <w:rsid w:val="001D64D9"/>
    <w:rsid w:val="001D64E0"/>
    <w:rsid w:val="001D667E"/>
    <w:rsid w:val="001D6A64"/>
    <w:rsid w:val="001D6C38"/>
    <w:rsid w:val="001D6CB8"/>
    <w:rsid w:val="001D6ED3"/>
    <w:rsid w:val="001D72AD"/>
    <w:rsid w:val="001D76DC"/>
    <w:rsid w:val="001D7761"/>
    <w:rsid w:val="001D7CCF"/>
    <w:rsid w:val="001D7D35"/>
    <w:rsid w:val="001D7DE0"/>
    <w:rsid w:val="001D7EC1"/>
    <w:rsid w:val="001E023F"/>
    <w:rsid w:val="001E0495"/>
    <w:rsid w:val="001E056F"/>
    <w:rsid w:val="001E06BA"/>
    <w:rsid w:val="001E06D3"/>
    <w:rsid w:val="001E091E"/>
    <w:rsid w:val="001E0950"/>
    <w:rsid w:val="001E0DFC"/>
    <w:rsid w:val="001E1151"/>
    <w:rsid w:val="001E1562"/>
    <w:rsid w:val="001E1741"/>
    <w:rsid w:val="001E21E4"/>
    <w:rsid w:val="001E22EA"/>
    <w:rsid w:val="001E2690"/>
    <w:rsid w:val="001E2AB5"/>
    <w:rsid w:val="001E2E07"/>
    <w:rsid w:val="001E31DB"/>
    <w:rsid w:val="001E342A"/>
    <w:rsid w:val="001E3582"/>
    <w:rsid w:val="001E3919"/>
    <w:rsid w:val="001E396E"/>
    <w:rsid w:val="001E3A0E"/>
    <w:rsid w:val="001E3A17"/>
    <w:rsid w:val="001E3CA9"/>
    <w:rsid w:val="001E3DB6"/>
    <w:rsid w:val="001E423A"/>
    <w:rsid w:val="001E4429"/>
    <w:rsid w:val="001E4CBD"/>
    <w:rsid w:val="001E4F79"/>
    <w:rsid w:val="001E50C0"/>
    <w:rsid w:val="001E53A9"/>
    <w:rsid w:val="001E57AB"/>
    <w:rsid w:val="001E58D7"/>
    <w:rsid w:val="001E58ED"/>
    <w:rsid w:val="001E5A33"/>
    <w:rsid w:val="001E5DC1"/>
    <w:rsid w:val="001E5E3D"/>
    <w:rsid w:val="001E5ED8"/>
    <w:rsid w:val="001E5EF9"/>
    <w:rsid w:val="001E60BA"/>
    <w:rsid w:val="001E636E"/>
    <w:rsid w:val="001E64C1"/>
    <w:rsid w:val="001E64C6"/>
    <w:rsid w:val="001E65F9"/>
    <w:rsid w:val="001E667F"/>
    <w:rsid w:val="001E6884"/>
    <w:rsid w:val="001E6C36"/>
    <w:rsid w:val="001E6F6C"/>
    <w:rsid w:val="001E6FE9"/>
    <w:rsid w:val="001E70D1"/>
    <w:rsid w:val="001E7565"/>
    <w:rsid w:val="001E757F"/>
    <w:rsid w:val="001E759C"/>
    <w:rsid w:val="001E7900"/>
    <w:rsid w:val="001E7BB5"/>
    <w:rsid w:val="001E7BE7"/>
    <w:rsid w:val="001E7D85"/>
    <w:rsid w:val="001E7EC6"/>
    <w:rsid w:val="001F003C"/>
    <w:rsid w:val="001F0149"/>
    <w:rsid w:val="001F01A9"/>
    <w:rsid w:val="001F0281"/>
    <w:rsid w:val="001F038D"/>
    <w:rsid w:val="001F03A9"/>
    <w:rsid w:val="001F057F"/>
    <w:rsid w:val="001F0B1C"/>
    <w:rsid w:val="001F0CA3"/>
    <w:rsid w:val="001F0DE2"/>
    <w:rsid w:val="001F0E29"/>
    <w:rsid w:val="001F0E95"/>
    <w:rsid w:val="001F0FD0"/>
    <w:rsid w:val="001F1586"/>
    <w:rsid w:val="001F1724"/>
    <w:rsid w:val="001F17C2"/>
    <w:rsid w:val="001F194D"/>
    <w:rsid w:val="001F197B"/>
    <w:rsid w:val="001F1C47"/>
    <w:rsid w:val="001F1D55"/>
    <w:rsid w:val="001F1E0B"/>
    <w:rsid w:val="001F1ECF"/>
    <w:rsid w:val="001F1F0F"/>
    <w:rsid w:val="001F205C"/>
    <w:rsid w:val="001F20B5"/>
    <w:rsid w:val="001F21A0"/>
    <w:rsid w:val="001F249D"/>
    <w:rsid w:val="001F2639"/>
    <w:rsid w:val="001F26C2"/>
    <w:rsid w:val="001F26D3"/>
    <w:rsid w:val="001F2746"/>
    <w:rsid w:val="001F2863"/>
    <w:rsid w:val="001F293B"/>
    <w:rsid w:val="001F2C61"/>
    <w:rsid w:val="001F2CB7"/>
    <w:rsid w:val="001F2D5F"/>
    <w:rsid w:val="001F2E47"/>
    <w:rsid w:val="001F2F27"/>
    <w:rsid w:val="001F2F50"/>
    <w:rsid w:val="001F3078"/>
    <w:rsid w:val="001F3141"/>
    <w:rsid w:val="001F32F0"/>
    <w:rsid w:val="001F3823"/>
    <w:rsid w:val="001F39AE"/>
    <w:rsid w:val="001F3B2C"/>
    <w:rsid w:val="001F3B4D"/>
    <w:rsid w:val="001F3D89"/>
    <w:rsid w:val="001F3E42"/>
    <w:rsid w:val="001F3EDC"/>
    <w:rsid w:val="001F3F82"/>
    <w:rsid w:val="001F41A5"/>
    <w:rsid w:val="001F4346"/>
    <w:rsid w:val="001F436A"/>
    <w:rsid w:val="001F44AD"/>
    <w:rsid w:val="001F4A35"/>
    <w:rsid w:val="001F4C65"/>
    <w:rsid w:val="001F4CA9"/>
    <w:rsid w:val="001F4EF6"/>
    <w:rsid w:val="001F4F85"/>
    <w:rsid w:val="001F516B"/>
    <w:rsid w:val="001F52DF"/>
    <w:rsid w:val="001F5F6D"/>
    <w:rsid w:val="001F64C6"/>
    <w:rsid w:val="001F656F"/>
    <w:rsid w:val="001F671D"/>
    <w:rsid w:val="001F6818"/>
    <w:rsid w:val="001F6B36"/>
    <w:rsid w:val="001F7160"/>
    <w:rsid w:val="001F7174"/>
    <w:rsid w:val="001F71FE"/>
    <w:rsid w:val="001F729B"/>
    <w:rsid w:val="001F734C"/>
    <w:rsid w:val="001F7395"/>
    <w:rsid w:val="001F73E6"/>
    <w:rsid w:val="001F748F"/>
    <w:rsid w:val="001F74BF"/>
    <w:rsid w:val="001F7524"/>
    <w:rsid w:val="001F75CB"/>
    <w:rsid w:val="001F7F41"/>
    <w:rsid w:val="00200126"/>
    <w:rsid w:val="00200141"/>
    <w:rsid w:val="00200228"/>
    <w:rsid w:val="00200236"/>
    <w:rsid w:val="0020026C"/>
    <w:rsid w:val="0020042B"/>
    <w:rsid w:val="0020056A"/>
    <w:rsid w:val="002007A5"/>
    <w:rsid w:val="00200836"/>
    <w:rsid w:val="00200A40"/>
    <w:rsid w:val="00200A6A"/>
    <w:rsid w:val="00200DA4"/>
    <w:rsid w:val="00200EB7"/>
    <w:rsid w:val="00200F31"/>
    <w:rsid w:val="002010E8"/>
    <w:rsid w:val="002010EE"/>
    <w:rsid w:val="00201384"/>
    <w:rsid w:val="0020140F"/>
    <w:rsid w:val="002015FB"/>
    <w:rsid w:val="00201916"/>
    <w:rsid w:val="00201B29"/>
    <w:rsid w:val="00201C9E"/>
    <w:rsid w:val="00201E07"/>
    <w:rsid w:val="00201F1D"/>
    <w:rsid w:val="00201F8F"/>
    <w:rsid w:val="00202500"/>
    <w:rsid w:val="00202825"/>
    <w:rsid w:val="00202A65"/>
    <w:rsid w:val="00202D22"/>
    <w:rsid w:val="00202F09"/>
    <w:rsid w:val="00202F44"/>
    <w:rsid w:val="00203001"/>
    <w:rsid w:val="00203150"/>
    <w:rsid w:val="002032FF"/>
    <w:rsid w:val="00203371"/>
    <w:rsid w:val="002035B2"/>
    <w:rsid w:val="002035C5"/>
    <w:rsid w:val="00203652"/>
    <w:rsid w:val="00203A0E"/>
    <w:rsid w:val="00203BAF"/>
    <w:rsid w:val="0020404D"/>
    <w:rsid w:val="002041F0"/>
    <w:rsid w:val="002043D2"/>
    <w:rsid w:val="002047BB"/>
    <w:rsid w:val="00204809"/>
    <w:rsid w:val="002048E6"/>
    <w:rsid w:val="00204925"/>
    <w:rsid w:val="00204C9C"/>
    <w:rsid w:val="00204EAE"/>
    <w:rsid w:val="002051E9"/>
    <w:rsid w:val="0020529D"/>
    <w:rsid w:val="0020529E"/>
    <w:rsid w:val="0020570D"/>
    <w:rsid w:val="0020574C"/>
    <w:rsid w:val="002059A8"/>
    <w:rsid w:val="00205CB2"/>
    <w:rsid w:val="00205CEF"/>
    <w:rsid w:val="00205EF3"/>
    <w:rsid w:val="00205F85"/>
    <w:rsid w:val="002060E2"/>
    <w:rsid w:val="002061D9"/>
    <w:rsid w:val="002061DD"/>
    <w:rsid w:val="0020620A"/>
    <w:rsid w:val="002069A5"/>
    <w:rsid w:val="00206AD9"/>
    <w:rsid w:val="00206C40"/>
    <w:rsid w:val="00206DDA"/>
    <w:rsid w:val="00206DE6"/>
    <w:rsid w:val="00206F5F"/>
    <w:rsid w:val="0020704B"/>
    <w:rsid w:val="00207240"/>
    <w:rsid w:val="0020758A"/>
    <w:rsid w:val="002078D8"/>
    <w:rsid w:val="00207A61"/>
    <w:rsid w:val="00207B94"/>
    <w:rsid w:val="00207BC5"/>
    <w:rsid w:val="00207CB4"/>
    <w:rsid w:val="00207FAD"/>
    <w:rsid w:val="00210148"/>
    <w:rsid w:val="002101AD"/>
    <w:rsid w:val="00210234"/>
    <w:rsid w:val="00210366"/>
    <w:rsid w:val="0021096B"/>
    <w:rsid w:val="00210CC4"/>
    <w:rsid w:val="00210D88"/>
    <w:rsid w:val="002110B0"/>
    <w:rsid w:val="002113B9"/>
    <w:rsid w:val="0021166F"/>
    <w:rsid w:val="002117FA"/>
    <w:rsid w:val="00211866"/>
    <w:rsid w:val="00211995"/>
    <w:rsid w:val="00211C95"/>
    <w:rsid w:val="00211F8F"/>
    <w:rsid w:val="00211FE0"/>
    <w:rsid w:val="00212014"/>
    <w:rsid w:val="002124DF"/>
    <w:rsid w:val="002125B5"/>
    <w:rsid w:val="002126C2"/>
    <w:rsid w:val="00212B26"/>
    <w:rsid w:val="00213006"/>
    <w:rsid w:val="00213007"/>
    <w:rsid w:val="0021323D"/>
    <w:rsid w:val="00213505"/>
    <w:rsid w:val="0021359B"/>
    <w:rsid w:val="00213901"/>
    <w:rsid w:val="00213E63"/>
    <w:rsid w:val="002141D9"/>
    <w:rsid w:val="002142FD"/>
    <w:rsid w:val="0021432C"/>
    <w:rsid w:val="00214826"/>
    <w:rsid w:val="00214849"/>
    <w:rsid w:val="002149DE"/>
    <w:rsid w:val="00214AC5"/>
    <w:rsid w:val="00214ADD"/>
    <w:rsid w:val="00214B04"/>
    <w:rsid w:val="00214B34"/>
    <w:rsid w:val="00214CFF"/>
    <w:rsid w:val="00214DD6"/>
    <w:rsid w:val="00214E77"/>
    <w:rsid w:val="00214E9D"/>
    <w:rsid w:val="0021522B"/>
    <w:rsid w:val="002152EE"/>
    <w:rsid w:val="0021556E"/>
    <w:rsid w:val="0021570E"/>
    <w:rsid w:val="00215878"/>
    <w:rsid w:val="00215885"/>
    <w:rsid w:val="00215A7C"/>
    <w:rsid w:val="00215F6B"/>
    <w:rsid w:val="00215FF9"/>
    <w:rsid w:val="0021603A"/>
    <w:rsid w:val="00216275"/>
    <w:rsid w:val="0021638B"/>
    <w:rsid w:val="002163C1"/>
    <w:rsid w:val="0021655C"/>
    <w:rsid w:val="0021658B"/>
    <w:rsid w:val="0021659F"/>
    <w:rsid w:val="00216634"/>
    <w:rsid w:val="002167E3"/>
    <w:rsid w:val="00216870"/>
    <w:rsid w:val="002168B2"/>
    <w:rsid w:val="002168B4"/>
    <w:rsid w:val="002168E2"/>
    <w:rsid w:val="0021699D"/>
    <w:rsid w:val="002169BE"/>
    <w:rsid w:val="00216ED9"/>
    <w:rsid w:val="00216F79"/>
    <w:rsid w:val="00216FF0"/>
    <w:rsid w:val="002170A4"/>
    <w:rsid w:val="002174E7"/>
    <w:rsid w:val="0021758E"/>
    <w:rsid w:val="00217A45"/>
    <w:rsid w:val="00217BDC"/>
    <w:rsid w:val="00217DCB"/>
    <w:rsid w:val="00217F7D"/>
    <w:rsid w:val="00220834"/>
    <w:rsid w:val="002208FB"/>
    <w:rsid w:val="0022097D"/>
    <w:rsid w:val="00220996"/>
    <w:rsid w:val="00220C95"/>
    <w:rsid w:val="00220D9B"/>
    <w:rsid w:val="00220F92"/>
    <w:rsid w:val="002211F1"/>
    <w:rsid w:val="00221230"/>
    <w:rsid w:val="00221555"/>
    <w:rsid w:val="00221570"/>
    <w:rsid w:val="0022170F"/>
    <w:rsid w:val="00221780"/>
    <w:rsid w:val="00221B13"/>
    <w:rsid w:val="00221EC0"/>
    <w:rsid w:val="00221F60"/>
    <w:rsid w:val="00221F9D"/>
    <w:rsid w:val="0022206A"/>
    <w:rsid w:val="00222278"/>
    <w:rsid w:val="00222324"/>
    <w:rsid w:val="002223B0"/>
    <w:rsid w:val="002223D1"/>
    <w:rsid w:val="002224B8"/>
    <w:rsid w:val="002224C3"/>
    <w:rsid w:val="002225D0"/>
    <w:rsid w:val="0022280B"/>
    <w:rsid w:val="00222B64"/>
    <w:rsid w:val="00222D3F"/>
    <w:rsid w:val="00222EF3"/>
    <w:rsid w:val="00222F3D"/>
    <w:rsid w:val="002230A5"/>
    <w:rsid w:val="00223306"/>
    <w:rsid w:val="002235F6"/>
    <w:rsid w:val="00223ACE"/>
    <w:rsid w:val="00223B19"/>
    <w:rsid w:val="00223B75"/>
    <w:rsid w:val="00223BD1"/>
    <w:rsid w:val="00223C4B"/>
    <w:rsid w:val="00224114"/>
    <w:rsid w:val="002241EF"/>
    <w:rsid w:val="0022438E"/>
    <w:rsid w:val="0022449A"/>
    <w:rsid w:val="002244DD"/>
    <w:rsid w:val="002244F9"/>
    <w:rsid w:val="0022470E"/>
    <w:rsid w:val="00224DBE"/>
    <w:rsid w:val="00224EAD"/>
    <w:rsid w:val="00224F17"/>
    <w:rsid w:val="00224F5C"/>
    <w:rsid w:val="002255C6"/>
    <w:rsid w:val="002257A1"/>
    <w:rsid w:val="0022593C"/>
    <w:rsid w:val="002259B0"/>
    <w:rsid w:val="00225C8D"/>
    <w:rsid w:val="00225EDD"/>
    <w:rsid w:val="002260D8"/>
    <w:rsid w:val="0022647D"/>
    <w:rsid w:val="0022658D"/>
    <w:rsid w:val="002265B1"/>
    <w:rsid w:val="002268EF"/>
    <w:rsid w:val="002269BA"/>
    <w:rsid w:val="00226A1C"/>
    <w:rsid w:val="00226A34"/>
    <w:rsid w:val="00226D8D"/>
    <w:rsid w:val="002270FE"/>
    <w:rsid w:val="002274E2"/>
    <w:rsid w:val="002274E8"/>
    <w:rsid w:val="002275DC"/>
    <w:rsid w:val="00227673"/>
    <w:rsid w:val="00227897"/>
    <w:rsid w:val="002278D2"/>
    <w:rsid w:val="00227A1F"/>
    <w:rsid w:val="00227A9B"/>
    <w:rsid w:val="00227AB2"/>
    <w:rsid w:val="00227AF2"/>
    <w:rsid w:val="00227CA3"/>
    <w:rsid w:val="00227E5A"/>
    <w:rsid w:val="0023013F"/>
    <w:rsid w:val="00230198"/>
    <w:rsid w:val="00231119"/>
    <w:rsid w:val="0023119C"/>
    <w:rsid w:val="0023119F"/>
    <w:rsid w:val="00231403"/>
    <w:rsid w:val="00231531"/>
    <w:rsid w:val="0023153D"/>
    <w:rsid w:val="00231554"/>
    <w:rsid w:val="002315C1"/>
    <w:rsid w:val="0023170D"/>
    <w:rsid w:val="00231B4C"/>
    <w:rsid w:val="00231C0A"/>
    <w:rsid w:val="00231D25"/>
    <w:rsid w:val="00232236"/>
    <w:rsid w:val="0023249A"/>
    <w:rsid w:val="00232901"/>
    <w:rsid w:val="00232AE5"/>
    <w:rsid w:val="00232B37"/>
    <w:rsid w:val="00232DBC"/>
    <w:rsid w:val="00232F55"/>
    <w:rsid w:val="00233101"/>
    <w:rsid w:val="00233508"/>
    <w:rsid w:val="00233868"/>
    <w:rsid w:val="00233A6F"/>
    <w:rsid w:val="00233A7D"/>
    <w:rsid w:val="00233AF6"/>
    <w:rsid w:val="00233CE0"/>
    <w:rsid w:val="00233F0C"/>
    <w:rsid w:val="00233F85"/>
    <w:rsid w:val="0023410F"/>
    <w:rsid w:val="002343C5"/>
    <w:rsid w:val="002343F0"/>
    <w:rsid w:val="002344A8"/>
    <w:rsid w:val="002345F7"/>
    <w:rsid w:val="0023462E"/>
    <w:rsid w:val="00234711"/>
    <w:rsid w:val="00234BFB"/>
    <w:rsid w:val="00234C9A"/>
    <w:rsid w:val="00235248"/>
    <w:rsid w:val="00235250"/>
    <w:rsid w:val="00235365"/>
    <w:rsid w:val="0023564C"/>
    <w:rsid w:val="0023581B"/>
    <w:rsid w:val="00235AA7"/>
    <w:rsid w:val="00235ACB"/>
    <w:rsid w:val="00235B43"/>
    <w:rsid w:val="0023619C"/>
    <w:rsid w:val="00236246"/>
    <w:rsid w:val="002362FC"/>
    <w:rsid w:val="00236566"/>
    <w:rsid w:val="00236603"/>
    <w:rsid w:val="002366FE"/>
    <w:rsid w:val="00236703"/>
    <w:rsid w:val="00236776"/>
    <w:rsid w:val="00236A54"/>
    <w:rsid w:val="00236AA7"/>
    <w:rsid w:val="00236B40"/>
    <w:rsid w:val="00236C80"/>
    <w:rsid w:val="00236D16"/>
    <w:rsid w:val="002372D2"/>
    <w:rsid w:val="00237698"/>
    <w:rsid w:val="00237795"/>
    <w:rsid w:val="002377CA"/>
    <w:rsid w:val="00237B1D"/>
    <w:rsid w:val="00237C86"/>
    <w:rsid w:val="00237F7E"/>
    <w:rsid w:val="00240096"/>
    <w:rsid w:val="00240669"/>
    <w:rsid w:val="002406D0"/>
    <w:rsid w:val="0024079D"/>
    <w:rsid w:val="00240933"/>
    <w:rsid w:val="002409C6"/>
    <w:rsid w:val="00240E4A"/>
    <w:rsid w:val="0024117D"/>
    <w:rsid w:val="00241198"/>
    <w:rsid w:val="00241587"/>
    <w:rsid w:val="002419F6"/>
    <w:rsid w:val="00241A9E"/>
    <w:rsid w:val="00241AFF"/>
    <w:rsid w:val="00241B66"/>
    <w:rsid w:val="00241D31"/>
    <w:rsid w:val="00241D64"/>
    <w:rsid w:val="00241D72"/>
    <w:rsid w:val="00242083"/>
    <w:rsid w:val="0024264E"/>
    <w:rsid w:val="002429FF"/>
    <w:rsid w:val="00242B48"/>
    <w:rsid w:val="00242BDB"/>
    <w:rsid w:val="00242E41"/>
    <w:rsid w:val="00242FCF"/>
    <w:rsid w:val="0024304C"/>
    <w:rsid w:val="00243190"/>
    <w:rsid w:val="002431DD"/>
    <w:rsid w:val="0024327B"/>
    <w:rsid w:val="0024377C"/>
    <w:rsid w:val="00243789"/>
    <w:rsid w:val="00243A95"/>
    <w:rsid w:val="00243BFC"/>
    <w:rsid w:val="00244144"/>
    <w:rsid w:val="00244197"/>
    <w:rsid w:val="002441FC"/>
    <w:rsid w:val="00244376"/>
    <w:rsid w:val="0024442B"/>
    <w:rsid w:val="00244B13"/>
    <w:rsid w:val="00244C73"/>
    <w:rsid w:val="00244D17"/>
    <w:rsid w:val="00244D18"/>
    <w:rsid w:val="00244EE2"/>
    <w:rsid w:val="00244EF5"/>
    <w:rsid w:val="0024503D"/>
    <w:rsid w:val="002456C0"/>
    <w:rsid w:val="002456CD"/>
    <w:rsid w:val="002458CA"/>
    <w:rsid w:val="00245D2C"/>
    <w:rsid w:val="00246020"/>
    <w:rsid w:val="0024605D"/>
    <w:rsid w:val="00246354"/>
    <w:rsid w:val="0024674C"/>
    <w:rsid w:val="00246857"/>
    <w:rsid w:val="00246BCC"/>
    <w:rsid w:val="00246D0E"/>
    <w:rsid w:val="00246DB2"/>
    <w:rsid w:val="00246FEE"/>
    <w:rsid w:val="00247278"/>
    <w:rsid w:val="002474B8"/>
    <w:rsid w:val="0024774B"/>
    <w:rsid w:val="002478D7"/>
    <w:rsid w:val="002478DC"/>
    <w:rsid w:val="00247B2F"/>
    <w:rsid w:val="00247CCD"/>
    <w:rsid w:val="00247DB1"/>
    <w:rsid w:val="00250303"/>
    <w:rsid w:val="002504A7"/>
    <w:rsid w:val="002505FC"/>
    <w:rsid w:val="00250659"/>
    <w:rsid w:val="002507DB"/>
    <w:rsid w:val="00250935"/>
    <w:rsid w:val="00250946"/>
    <w:rsid w:val="0025094C"/>
    <w:rsid w:val="00250FDF"/>
    <w:rsid w:val="002513F5"/>
    <w:rsid w:val="00251727"/>
    <w:rsid w:val="0025197C"/>
    <w:rsid w:val="00251B64"/>
    <w:rsid w:val="00251BB9"/>
    <w:rsid w:val="00251CF3"/>
    <w:rsid w:val="00251EB3"/>
    <w:rsid w:val="0025200C"/>
    <w:rsid w:val="00252207"/>
    <w:rsid w:val="002523B3"/>
    <w:rsid w:val="00252A21"/>
    <w:rsid w:val="00252BE6"/>
    <w:rsid w:val="00252E27"/>
    <w:rsid w:val="00252E3F"/>
    <w:rsid w:val="002535C5"/>
    <w:rsid w:val="002538A5"/>
    <w:rsid w:val="002539A5"/>
    <w:rsid w:val="00253A30"/>
    <w:rsid w:val="00253A95"/>
    <w:rsid w:val="00253B63"/>
    <w:rsid w:val="00253DBD"/>
    <w:rsid w:val="00253DCD"/>
    <w:rsid w:val="00253DD0"/>
    <w:rsid w:val="002540CC"/>
    <w:rsid w:val="00254326"/>
    <w:rsid w:val="00254329"/>
    <w:rsid w:val="00254370"/>
    <w:rsid w:val="0025446C"/>
    <w:rsid w:val="00254491"/>
    <w:rsid w:val="00254514"/>
    <w:rsid w:val="0025457B"/>
    <w:rsid w:val="00254728"/>
    <w:rsid w:val="00254940"/>
    <w:rsid w:val="00254F32"/>
    <w:rsid w:val="002550BB"/>
    <w:rsid w:val="00255146"/>
    <w:rsid w:val="002557C0"/>
    <w:rsid w:val="002558CE"/>
    <w:rsid w:val="00255BB5"/>
    <w:rsid w:val="00255C9F"/>
    <w:rsid w:val="0025602D"/>
    <w:rsid w:val="002563A1"/>
    <w:rsid w:val="00256451"/>
    <w:rsid w:val="002564E6"/>
    <w:rsid w:val="002566F9"/>
    <w:rsid w:val="00256757"/>
    <w:rsid w:val="002567A3"/>
    <w:rsid w:val="002569CB"/>
    <w:rsid w:val="002569EC"/>
    <w:rsid w:val="00256DFB"/>
    <w:rsid w:val="00256ECE"/>
    <w:rsid w:val="00256FD8"/>
    <w:rsid w:val="00257506"/>
    <w:rsid w:val="00257862"/>
    <w:rsid w:val="002579F8"/>
    <w:rsid w:val="00260184"/>
    <w:rsid w:val="00260299"/>
    <w:rsid w:val="002602AC"/>
    <w:rsid w:val="002607FE"/>
    <w:rsid w:val="0026095A"/>
    <w:rsid w:val="002609AD"/>
    <w:rsid w:val="00260AF4"/>
    <w:rsid w:val="00260D30"/>
    <w:rsid w:val="00260DF4"/>
    <w:rsid w:val="00260EBB"/>
    <w:rsid w:val="00260F46"/>
    <w:rsid w:val="00260FA4"/>
    <w:rsid w:val="0026123F"/>
    <w:rsid w:val="002612EF"/>
    <w:rsid w:val="0026175E"/>
    <w:rsid w:val="00261823"/>
    <w:rsid w:val="00261CB6"/>
    <w:rsid w:val="00261D47"/>
    <w:rsid w:val="00261E85"/>
    <w:rsid w:val="002621C1"/>
    <w:rsid w:val="002622B0"/>
    <w:rsid w:val="0026280E"/>
    <w:rsid w:val="00262844"/>
    <w:rsid w:val="002629DC"/>
    <w:rsid w:val="00262EA1"/>
    <w:rsid w:val="00263044"/>
    <w:rsid w:val="002633D7"/>
    <w:rsid w:val="002637D3"/>
    <w:rsid w:val="002637E6"/>
    <w:rsid w:val="00263A2C"/>
    <w:rsid w:val="00263B34"/>
    <w:rsid w:val="00263DAB"/>
    <w:rsid w:val="00263F94"/>
    <w:rsid w:val="002640ED"/>
    <w:rsid w:val="0026412A"/>
    <w:rsid w:val="002641E7"/>
    <w:rsid w:val="0026428C"/>
    <w:rsid w:val="00264370"/>
    <w:rsid w:val="0026451E"/>
    <w:rsid w:val="002646D8"/>
    <w:rsid w:val="0026470C"/>
    <w:rsid w:val="00264845"/>
    <w:rsid w:val="002649A7"/>
    <w:rsid w:val="00264E99"/>
    <w:rsid w:val="00264EBA"/>
    <w:rsid w:val="002653A4"/>
    <w:rsid w:val="002653BE"/>
    <w:rsid w:val="002653FE"/>
    <w:rsid w:val="002659B2"/>
    <w:rsid w:val="00265A53"/>
    <w:rsid w:val="00265AD4"/>
    <w:rsid w:val="00265AEC"/>
    <w:rsid w:val="00265B85"/>
    <w:rsid w:val="00265BB0"/>
    <w:rsid w:val="002661B4"/>
    <w:rsid w:val="0026693E"/>
    <w:rsid w:val="00266963"/>
    <w:rsid w:val="00266A58"/>
    <w:rsid w:val="00266A7F"/>
    <w:rsid w:val="00266B0C"/>
    <w:rsid w:val="00266E4B"/>
    <w:rsid w:val="00266FA6"/>
    <w:rsid w:val="00266FB8"/>
    <w:rsid w:val="0026721C"/>
    <w:rsid w:val="00267763"/>
    <w:rsid w:val="002679B8"/>
    <w:rsid w:val="00267DD5"/>
    <w:rsid w:val="00267FDE"/>
    <w:rsid w:val="00270069"/>
    <w:rsid w:val="00270363"/>
    <w:rsid w:val="002703AE"/>
    <w:rsid w:val="00270694"/>
    <w:rsid w:val="0027099A"/>
    <w:rsid w:val="00270FD9"/>
    <w:rsid w:val="00271D03"/>
    <w:rsid w:val="00271E2F"/>
    <w:rsid w:val="00271EF5"/>
    <w:rsid w:val="00271F6F"/>
    <w:rsid w:val="002725DB"/>
    <w:rsid w:val="00272B4A"/>
    <w:rsid w:val="00272B5D"/>
    <w:rsid w:val="00272B68"/>
    <w:rsid w:val="00272B6E"/>
    <w:rsid w:val="00272C99"/>
    <w:rsid w:val="00272D4D"/>
    <w:rsid w:val="00272EC1"/>
    <w:rsid w:val="00273110"/>
    <w:rsid w:val="00273D07"/>
    <w:rsid w:val="00273D08"/>
    <w:rsid w:val="00273DE6"/>
    <w:rsid w:val="00273EBA"/>
    <w:rsid w:val="0027435B"/>
    <w:rsid w:val="0027443A"/>
    <w:rsid w:val="002744C5"/>
    <w:rsid w:val="002746FB"/>
    <w:rsid w:val="00274869"/>
    <w:rsid w:val="0027495D"/>
    <w:rsid w:val="002749C8"/>
    <w:rsid w:val="00274C6D"/>
    <w:rsid w:val="00274DC0"/>
    <w:rsid w:val="00274EAA"/>
    <w:rsid w:val="00275067"/>
    <w:rsid w:val="002750BA"/>
    <w:rsid w:val="00275120"/>
    <w:rsid w:val="002751A2"/>
    <w:rsid w:val="00275265"/>
    <w:rsid w:val="002753D8"/>
    <w:rsid w:val="002755CA"/>
    <w:rsid w:val="002755E2"/>
    <w:rsid w:val="00275815"/>
    <w:rsid w:val="00275A78"/>
    <w:rsid w:val="00276067"/>
    <w:rsid w:val="002760E0"/>
    <w:rsid w:val="0027612B"/>
    <w:rsid w:val="00276188"/>
    <w:rsid w:val="002762A0"/>
    <w:rsid w:val="002762F3"/>
    <w:rsid w:val="0027636D"/>
    <w:rsid w:val="002763A1"/>
    <w:rsid w:val="002763CC"/>
    <w:rsid w:val="002763F0"/>
    <w:rsid w:val="00276C18"/>
    <w:rsid w:val="00276D84"/>
    <w:rsid w:val="00276DB7"/>
    <w:rsid w:val="00276DB8"/>
    <w:rsid w:val="00276DE2"/>
    <w:rsid w:val="002770ED"/>
    <w:rsid w:val="00277409"/>
    <w:rsid w:val="002777AE"/>
    <w:rsid w:val="0027788B"/>
    <w:rsid w:val="00277A1F"/>
    <w:rsid w:val="00277BF7"/>
    <w:rsid w:val="00277C6F"/>
    <w:rsid w:val="00277CE4"/>
    <w:rsid w:val="00277F0F"/>
    <w:rsid w:val="00277FC4"/>
    <w:rsid w:val="0028003A"/>
    <w:rsid w:val="0028012F"/>
    <w:rsid w:val="00280411"/>
    <w:rsid w:val="002804F4"/>
    <w:rsid w:val="00280BC3"/>
    <w:rsid w:val="00280BCA"/>
    <w:rsid w:val="00280EF5"/>
    <w:rsid w:val="002810A8"/>
    <w:rsid w:val="002810D2"/>
    <w:rsid w:val="0028122E"/>
    <w:rsid w:val="0028124D"/>
    <w:rsid w:val="00281927"/>
    <w:rsid w:val="00281AC1"/>
    <w:rsid w:val="00281BFF"/>
    <w:rsid w:val="00281C68"/>
    <w:rsid w:val="00281E5F"/>
    <w:rsid w:val="00281FD0"/>
    <w:rsid w:val="0028240E"/>
    <w:rsid w:val="0028249E"/>
    <w:rsid w:val="002827D0"/>
    <w:rsid w:val="00282870"/>
    <w:rsid w:val="00282A39"/>
    <w:rsid w:val="00282AED"/>
    <w:rsid w:val="00282BD1"/>
    <w:rsid w:val="00282CB0"/>
    <w:rsid w:val="00282D7C"/>
    <w:rsid w:val="00282D8C"/>
    <w:rsid w:val="00282DE0"/>
    <w:rsid w:val="00283159"/>
    <w:rsid w:val="002837F8"/>
    <w:rsid w:val="00283919"/>
    <w:rsid w:val="00283AEA"/>
    <w:rsid w:val="00283BD7"/>
    <w:rsid w:val="00283C25"/>
    <w:rsid w:val="00283C3E"/>
    <w:rsid w:val="00283C45"/>
    <w:rsid w:val="00283CAD"/>
    <w:rsid w:val="00283D1D"/>
    <w:rsid w:val="00283DF7"/>
    <w:rsid w:val="00283E0B"/>
    <w:rsid w:val="00283E7E"/>
    <w:rsid w:val="00284103"/>
    <w:rsid w:val="0028418A"/>
    <w:rsid w:val="0028434B"/>
    <w:rsid w:val="00284383"/>
    <w:rsid w:val="002843C4"/>
    <w:rsid w:val="002843EA"/>
    <w:rsid w:val="0028456B"/>
    <w:rsid w:val="002849E1"/>
    <w:rsid w:val="00284AD6"/>
    <w:rsid w:val="00284D7E"/>
    <w:rsid w:val="00284E22"/>
    <w:rsid w:val="00284E71"/>
    <w:rsid w:val="002850AE"/>
    <w:rsid w:val="002853D5"/>
    <w:rsid w:val="0028551F"/>
    <w:rsid w:val="002855B5"/>
    <w:rsid w:val="0028595E"/>
    <w:rsid w:val="00285A30"/>
    <w:rsid w:val="00285DD4"/>
    <w:rsid w:val="00285EDE"/>
    <w:rsid w:val="00285F35"/>
    <w:rsid w:val="00285FAF"/>
    <w:rsid w:val="0028615A"/>
    <w:rsid w:val="002862B4"/>
    <w:rsid w:val="002863BF"/>
    <w:rsid w:val="00286434"/>
    <w:rsid w:val="0028681F"/>
    <w:rsid w:val="0028697D"/>
    <w:rsid w:val="002869AA"/>
    <w:rsid w:val="00286CFA"/>
    <w:rsid w:val="00286F26"/>
    <w:rsid w:val="00287306"/>
    <w:rsid w:val="002873C4"/>
    <w:rsid w:val="00287979"/>
    <w:rsid w:val="002879A4"/>
    <w:rsid w:val="00287A08"/>
    <w:rsid w:val="00287C46"/>
    <w:rsid w:val="00287D3C"/>
    <w:rsid w:val="00287FBF"/>
    <w:rsid w:val="00290252"/>
    <w:rsid w:val="0029027E"/>
    <w:rsid w:val="002902BA"/>
    <w:rsid w:val="002902F8"/>
    <w:rsid w:val="00290704"/>
    <w:rsid w:val="0029075D"/>
    <w:rsid w:val="00290806"/>
    <w:rsid w:val="00290837"/>
    <w:rsid w:val="002908B8"/>
    <w:rsid w:val="0029091F"/>
    <w:rsid w:val="00290978"/>
    <w:rsid w:val="00290A2B"/>
    <w:rsid w:val="00290C00"/>
    <w:rsid w:val="00290CB7"/>
    <w:rsid w:val="00290F6F"/>
    <w:rsid w:val="00290FD1"/>
    <w:rsid w:val="00291074"/>
    <w:rsid w:val="00291174"/>
    <w:rsid w:val="00291AFB"/>
    <w:rsid w:val="00291BB4"/>
    <w:rsid w:val="00291C37"/>
    <w:rsid w:val="00291DB1"/>
    <w:rsid w:val="00291F2B"/>
    <w:rsid w:val="00292044"/>
    <w:rsid w:val="00292198"/>
    <w:rsid w:val="00292227"/>
    <w:rsid w:val="002925F7"/>
    <w:rsid w:val="00292A0B"/>
    <w:rsid w:val="00292E8E"/>
    <w:rsid w:val="00292EEA"/>
    <w:rsid w:val="00292F81"/>
    <w:rsid w:val="00292FCF"/>
    <w:rsid w:val="00292FDF"/>
    <w:rsid w:val="00293158"/>
    <w:rsid w:val="0029318D"/>
    <w:rsid w:val="00293440"/>
    <w:rsid w:val="00293480"/>
    <w:rsid w:val="00293611"/>
    <w:rsid w:val="0029380B"/>
    <w:rsid w:val="00293C99"/>
    <w:rsid w:val="00293CBD"/>
    <w:rsid w:val="00293CE2"/>
    <w:rsid w:val="00293CEB"/>
    <w:rsid w:val="00293D75"/>
    <w:rsid w:val="00293F41"/>
    <w:rsid w:val="00294008"/>
    <w:rsid w:val="0029400B"/>
    <w:rsid w:val="0029404A"/>
    <w:rsid w:val="0029408E"/>
    <w:rsid w:val="0029414E"/>
    <w:rsid w:val="00294415"/>
    <w:rsid w:val="00294424"/>
    <w:rsid w:val="00294425"/>
    <w:rsid w:val="00294500"/>
    <w:rsid w:val="00294633"/>
    <w:rsid w:val="0029492B"/>
    <w:rsid w:val="00294A48"/>
    <w:rsid w:val="00294ABB"/>
    <w:rsid w:val="00294C5D"/>
    <w:rsid w:val="0029507C"/>
    <w:rsid w:val="002951A2"/>
    <w:rsid w:val="002952A4"/>
    <w:rsid w:val="002952CB"/>
    <w:rsid w:val="002955FD"/>
    <w:rsid w:val="00295646"/>
    <w:rsid w:val="00295834"/>
    <w:rsid w:val="00295B8E"/>
    <w:rsid w:val="00295C92"/>
    <w:rsid w:val="00295CC3"/>
    <w:rsid w:val="00295E23"/>
    <w:rsid w:val="00295E72"/>
    <w:rsid w:val="00295FFD"/>
    <w:rsid w:val="00296316"/>
    <w:rsid w:val="00296527"/>
    <w:rsid w:val="002966A9"/>
    <w:rsid w:val="002966F3"/>
    <w:rsid w:val="002968EC"/>
    <w:rsid w:val="00296971"/>
    <w:rsid w:val="00296AB5"/>
    <w:rsid w:val="00296BCA"/>
    <w:rsid w:val="00296DC2"/>
    <w:rsid w:val="0029731A"/>
    <w:rsid w:val="0029754F"/>
    <w:rsid w:val="00297634"/>
    <w:rsid w:val="002976F6"/>
    <w:rsid w:val="00297721"/>
    <w:rsid w:val="0029772E"/>
    <w:rsid w:val="00297751"/>
    <w:rsid w:val="0029785F"/>
    <w:rsid w:val="00297BEA"/>
    <w:rsid w:val="00297EE3"/>
    <w:rsid w:val="002A0353"/>
    <w:rsid w:val="002A03DE"/>
    <w:rsid w:val="002A0560"/>
    <w:rsid w:val="002A07FB"/>
    <w:rsid w:val="002A0877"/>
    <w:rsid w:val="002A09B7"/>
    <w:rsid w:val="002A0B8D"/>
    <w:rsid w:val="002A0C1F"/>
    <w:rsid w:val="002A11B1"/>
    <w:rsid w:val="002A125A"/>
    <w:rsid w:val="002A1423"/>
    <w:rsid w:val="002A1484"/>
    <w:rsid w:val="002A16EC"/>
    <w:rsid w:val="002A18D3"/>
    <w:rsid w:val="002A1D90"/>
    <w:rsid w:val="002A20BC"/>
    <w:rsid w:val="002A236D"/>
    <w:rsid w:val="002A2375"/>
    <w:rsid w:val="002A239F"/>
    <w:rsid w:val="002A25DC"/>
    <w:rsid w:val="002A27DD"/>
    <w:rsid w:val="002A2808"/>
    <w:rsid w:val="002A2832"/>
    <w:rsid w:val="002A28FB"/>
    <w:rsid w:val="002A2998"/>
    <w:rsid w:val="002A2DA8"/>
    <w:rsid w:val="002A2E1D"/>
    <w:rsid w:val="002A2F93"/>
    <w:rsid w:val="002A3121"/>
    <w:rsid w:val="002A32D7"/>
    <w:rsid w:val="002A332D"/>
    <w:rsid w:val="002A3380"/>
    <w:rsid w:val="002A3555"/>
    <w:rsid w:val="002A3787"/>
    <w:rsid w:val="002A37AC"/>
    <w:rsid w:val="002A3B20"/>
    <w:rsid w:val="002A3C77"/>
    <w:rsid w:val="002A3CF3"/>
    <w:rsid w:val="002A3D1D"/>
    <w:rsid w:val="002A3D78"/>
    <w:rsid w:val="002A3DF0"/>
    <w:rsid w:val="002A3E69"/>
    <w:rsid w:val="002A3F01"/>
    <w:rsid w:val="002A4008"/>
    <w:rsid w:val="002A402B"/>
    <w:rsid w:val="002A40CB"/>
    <w:rsid w:val="002A43D3"/>
    <w:rsid w:val="002A4569"/>
    <w:rsid w:val="002A473C"/>
    <w:rsid w:val="002A4761"/>
    <w:rsid w:val="002A49E6"/>
    <w:rsid w:val="002A4A6D"/>
    <w:rsid w:val="002A4D29"/>
    <w:rsid w:val="002A4E1F"/>
    <w:rsid w:val="002A4F46"/>
    <w:rsid w:val="002A515C"/>
    <w:rsid w:val="002A588A"/>
    <w:rsid w:val="002A5986"/>
    <w:rsid w:val="002A5E14"/>
    <w:rsid w:val="002A5EBF"/>
    <w:rsid w:val="002A5F60"/>
    <w:rsid w:val="002A6127"/>
    <w:rsid w:val="002A61B1"/>
    <w:rsid w:val="002A62BD"/>
    <w:rsid w:val="002A65C1"/>
    <w:rsid w:val="002A68FD"/>
    <w:rsid w:val="002A6B09"/>
    <w:rsid w:val="002A6C0F"/>
    <w:rsid w:val="002A6E57"/>
    <w:rsid w:val="002A7001"/>
    <w:rsid w:val="002A72D1"/>
    <w:rsid w:val="002A73B3"/>
    <w:rsid w:val="002A746C"/>
    <w:rsid w:val="002A75A0"/>
    <w:rsid w:val="002A798F"/>
    <w:rsid w:val="002A7CE5"/>
    <w:rsid w:val="002A7EFE"/>
    <w:rsid w:val="002B001D"/>
    <w:rsid w:val="002B0102"/>
    <w:rsid w:val="002B0275"/>
    <w:rsid w:val="002B02D8"/>
    <w:rsid w:val="002B0826"/>
    <w:rsid w:val="002B0A4A"/>
    <w:rsid w:val="002B0A81"/>
    <w:rsid w:val="002B0AB6"/>
    <w:rsid w:val="002B0C89"/>
    <w:rsid w:val="002B0EB3"/>
    <w:rsid w:val="002B101C"/>
    <w:rsid w:val="002B133E"/>
    <w:rsid w:val="002B1540"/>
    <w:rsid w:val="002B1712"/>
    <w:rsid w:val="002B1717"/>
    <w:rsid w:val="002B1726"/>
    <w:rsid w:val="002B1731"/>
    <w:rsid w:val="002B19F5"/>
    <w:rsid w:val="002B1A23"/>
    <w:rsid w:val="002B1A5B"/>
    <w:rsid w:val="002B1AB3"/>
    <w:rsid w:val="002B1B4F"/>
    <w:rsid w:val="002B1BB9"/>
    <w:rsid w:val="002B1BD2"/>
    <w:rsid w:val="002B1D37"/>
    <w:rsid w:val="002B1E04"/>
    <w:rsid w:val="002B1E3A"/>
    <w:rsid w:val="002B1F63"/>
    <w:rsid w:val="002B256B"/>
    <w:rsid w:val="002B29FC"/>
    <w:rsid w:val="002B2B07"/>
    <w:rsid w:val="002B2B6C"/>
    <w:rsid w:val="002B2BB8"/>
    <w:rsid w:val="002B2DFE"/>
    <w:rsid w:val="002B2E9C"/>
    <w:rsid w:val="002B2EFA"/>
    <w:rsid w:val="002B2F19"/>
    <w:rsid w:val="002B3312"/>
    <w:rsid w:val="002B3501"/>
    <w:rsid w:val="002B362D"/>
    <w:rsid w:val="002B3698"/>
    <w:rsid w:val="002B39C6"/>
    <w:rsid w:val="002B3A2F"/>
    <w:rsid w:val="002B3AE4"/>
    <w:rsid w:val="002B3BC8"/>
    <w:rsid w:val="002B3C08"/>
    <w:rsid w:val="002B3C8D"/>
    <w:rsid w:val="002B3F23"/>
    <w:rsid w:val="002B40B4"/>
    <w:rsid w:val="002B42C3"/>
    <w:rsid w:val="002B4445"/>
    <w:rsid w:val="002B4739"/>
    <w:rsid w:val="002B48DC"/>
    <w:rsid w:val="002B492C"/>
    <w:rsid w:val="002B49C1"/>
    <w:rsid w:val="002B4BD9"/>
    <w:rsid w:val="002B4E6D"/>
    <w:rsid w:val="002B510D"/>
    <w:rsid w:val="002B525B"/>
    <w:rsid w:val="002B53CA"/>
    <w:rsid w:val="002B53D4"/>
    <w:rsid w:val="002B5715"/>
    <w:rsid w:val="002B5736"/>
    <w:rsid w:val="002B57C1"/>
    <w:rsid w:val="002B584D"/>
    <w:rsid w:val="002B59F1"/>
    <w:rsid w:val="002B6123"/>
    <w:rsid w:val="002B62EC"/>
    <w:rsid w:val="002B6605"/>
    <w:rsid w:val="002B664B"/>
    <w:rsid w:val="002B6A2F"/>
    <w:rsid w:val="002B6B53"/>
    <w:rsid w:val="002B7005"/>
    <w:rsid w:val="002B709A"/>
    <w:rsid w:val="002B747C"/>
    <w:rsid w:val="002B79ED"/>
    <w:rsid w:val="002B7C3D"/>
    <w:rsid w:val="002B7DF3"/>
    <w:rsid w:val="002B7F8C"/>
    <w:rsid w:val="002C006E"/>
    <w:rsid w:val="002C031C"/>
    <w:rsid w:val="002C050E"/>
    <w:rsid w:val="002C0788"/>
    <w:rsid w:val="002C0FD5"/>
    <w:rsid w:val="002C1148"/>
    <w:rsid w:val="002C12BF"/>
    <w:rsid w:val="002C12CB"/>
    <w:rsid w:val="002C1316"/>
    <w:rsid w:val="002C153F"/>
    <w:rsid w:val="002C16B5"/>
    <w:rsid w:val="002C18D3"/>
    <w:rsid w:val="002C1BF3"/>
    <w:rsid w:val="002C1CA6"/>
    <w:rsid w:val="002C1CF2"/>
    <w:rsid w:val="002C1D76"/>
    <w:rsid w:val="002C1E1A"/>
    <w:rsid w:val="002C1E39"/>
    <w:rsid w:val="002C2475"/>
    <w:rsid w:val="002C2549"/>
    <w:rsid w:val="002C264B"/>
    <w:rsid w:val="002C281E"/>
    <w:rsid w:val="002C2908"/>
    <w:rsid w:val="002C2A52"/>
    <w:rsid w:val="002C2B90"/>
    <w:rsid w:val="002C2E89"/>
    <w:rsid w:val="002C3428"/>
    <w:rsid w:val="002C359A"/>
    <w:rsid w:val="002C36DC"/>
    <w:rsid w:val="002C3A1E"/>
    <w:rsid w:val="002C3A68"/>
    <w:rsid w:val="002C3C6E"/>
    <w:rsid w:val="002C3FA0"/>
    <w:rsid w:val="002C43FF"/>
    <w:rsid w:val="002C4C1F"/>
    <w:rsid w:val="002C4C63"/>
    <w:rsid w:val="002C4D25"/>
    <w:rsid w:val="002C4E9C"/>
    <w:rsid w:val="002C4F2F"/>
    <w:rsid w:val="002C4F4E"/>
    <w:rsid w:val="002C50C3"/>
    <w:rsid w:val="002C51F7"/>
    <w:rsid w:val="002C52F4"/>
    <w:rsid w:val="002C552A"/>
    <w:rsid w:val="002C5688"/>
    <w:rsid w:val="002C57CE"/>
    <w:rsid w:val="002C5CE0"/>
    <w:rsid w:val="002C5CEF"/>
    <w:rsid w:val="002C5E1C"/>
    <w:rsid w:val="002C60E5"/>
    <w:rsid w:val="002C63A1"/>
    <w:rsid w:val="002C64AA"/>
    <w:rsid w:val="002C690A"/>
    <w:rsid w:val="002C6B98"/>
    <w:rsid w:val="002C6BAF"/>
    <w:rsid w:val="002C704E"/>
    <w:rsid w:val="002C72D7"/>
    <w:rsid w:val="002C75A5"/>
    <w:rsid w:val="002C77F1"/>
    <w:rsid w:val="002C77FB"/>
    <w:rsid w:val="002C7896"/>
    <w:rsid w:val="002C789C"/>
    <w:rsid w:val="002C7982"/>
    <w:rsid w:val="002C7AA7"/>
    <w:rsid w:val="002C7CFB"/>
    <w:rsid w:val="002D00B5"/>
    <w:rsid w:val="002D00DD"/>
    <w:rsid w:val="002D024E"/>
    <w:rsid w:val="002D041F"/>
    <w:rsid w:val="002D0541"/>
    <w:rsid w:val="002D056E"/>
    <w:rsid w:val="002D066A"/>
    <w:rsid w:val="002D06D9"/>
    <w:rsid w:val="002D0CCE"/>
    <w:rsid w:val="002D0DD6"/>
    <w:rsid w:val="002D103B"/>
    <w:rsid w:val="002D14BC"/>
    <w:rsid w:val="002D150C"/>
    <w:rsid w:val="002D15BE"/>
    <w:rsid w:val="002D1CB1"/>
    <w:rsid w:val="002D1F44"/>
    <w:rsid w:val="002D1F49"/>
    <w:rsid w:val="002D20EF"/>
    <w:rsid w:val="002D2381"/>
    <w:rsid w:val="002D24B6"/>
    <w:rsid w:val="002D253D"/>
    <w:rsid w:val="002D2549"/>
    <w:rsid w:val="002D2618"/>
    <w:rsid w:val="002D286E"/>
    <w:rsid w:val="002D2A04"/>
    <w:rsid w:val="002D2A76"/>
    <w:rsid w:val="002D2E8F"/>
    <w:rsid w:val="002D2EAB"/>
    <w:rsid w:val="002D2F22"/>
    <w:rsid w:val="002D3084"/>
    <w:rsid w:val="002D30B7"/>
    <w:rsid w:val="002D30F6"/>
    <w:rsid w:val="002D32B3"/>
    <w:rsid w:val="002D3496"/>
    <w:rsid w:val="002D3670"/>
    <w:rsid w:val="002D37D8"/>
    <w:rsid w:val="002D3846"/>
    <w:rsid w:val="002D3ADA"/>
    <w:rsid w:val="002D404A"/>
    <w:rsid w:val="002D436A"/>
    <w:rsid w:val="002D4807"/>
    <w:rsid w:val="002D487F"/>
    <w:rsid w:val="002D48F2"/>
    <w:rsid w:val="002D49D2"/>
    <w:rsid w:val="002D4BCC"/>
    <w:rsid w:val="002D50B8"/>
    <w:rsid w:val="002D5167"/>
    <w:rsid w:val="002D5169"/>
    <w:rsid w:val="002D53E5"/>
    <w:rsid w:val="002D54B2"/>
    <w:rsid w:val="002D556D"/>
    <w:rsid w:val="002D5765"/>
    <w:rsid w:val="002D5774"/>
    <w:rsid w:val="002D5D8F"/>
    <w:rsid w:val="002D5F1C"/>
    <w:rsid w:val="002D5FFC"/>
    <w:rsid w:val="002D6091"/>
    <w:rsid w:val="002D6096"/>
    <w:rsid w:val="002D60FB"/>
    <w:rsid w:val="002D6172"/>
    <w:rsid w:val="002D62D2"/>
    <w:rsid w:val="002D6577"/>
    <w:rsid w:val="002D675E"/>
    <w:rsid w:val="002D6A60"/>
    <w:rsid w:val="002D6B73"/>
    <w:rsid w:val="002D6E47"/>
    <w:rsid w:val="002D709E"/>
    <w:rsid w:val="002D721C"/>
    <w:rsid w:val="002D746D"/>
    <w:rsid w:val="002D74E4"/>
    <w:rsid w:val="002D753B"/>
    <w:rsid w:val="002D75A7"/>
    <w:rsid w:val="002D785F"/>
    <w:rsid w:val="002D797D"/>
    <w:rsid w:val="002D7A42"/>
    <w:rsid w:val="002D7C24"/>
    <w:rsid w:val="002D7F05"/>
    <w:rsid w:val="002E0029"/>
    <w:rsid w:val="002E00BC"/>
    <w:rsid w:val="002E025A"/>
    <w:rsid w:val="002E0275"/>
    <w:rsid w:val="002E02AD"/>
    <w:rsid w:val="002E0681"/>
    <w:rsid w:val="002E0708"/>
    <w:rsid w:val="002E09B4"/>
    <w:rsid w:val="002E0B7C"/>
    <w:rsid w:val="002E0B9D"/>
    <w:rsid w:val="002E0DC6"/>
    <w:rsid w:val="002E101F"/>
    <w:rsid w:val="002E10AB"/>
    <w:rsid w:val="002E129B"/>
    <w:rsid w:val="002E137E"/>
    <w:rsid w:val="002E1570"/>
    <w:rsid w:val="002E1601"/>
    <w:rsid w:val="002E17EC"/>
    <w:rsid w:val="002E180A"/>
    <w:rsid w:val="002E18C4"/>
    <w:rsid w:val="002E191A"/>
    <w:rsid w:val="002E1B18"/>
    <w:rsid w:val="002E1E31"/>
    <w:rsid w:val="002E1F51"/>
    <w:rsid w:val="002E1F77"/>
    <w:rsid w:val="002E21EB"/>
    <w:rsid w:val="002E2392"/>
    <w:rsid w:val="002E28C2"/>
    <w:rsid w:val="002E2912"/>
    <w:rsid w:val="002E2B09"/>
    <w:rsid w:val="002E2B76"/>
    <w:rsid w:val="002E2EE2"/>
    <w:rsid w:val="002E3229"/>
    <w:rsid w:val="002E32C1"/>
    <w:rsid w:val="002E3578"/>
    <w:rsid w:val="002E3638"/>
    <w:rsid w:val="002E367C"/>
    <w:rsid w:val="002E36AC"/>
    <w:rsid w:val="002E3A6F"/>
    <w:rsid w:val="002E3E9F"/>
    <w:rsid w:val="002E3FCB"/>
    <w:rsid w:val="002E4083"/>
    <w:rsid w:val="002E41AF"/>
    <w:rsid w:val="002E4384"/>
    <w:rsid w:val="002E44D7"/>
    <w:rsid w:val="002E477C"/>
    <w:rsid w:val="002E4964"/>
    <w:rsid w:val="002E4C1B"/>
    <w:rsid w:val="002E4F4C"/>
    <w:rsid w:val="002E502F"/>
    <w:rsid w:val="002E507C"/>
    <w:rsid w:val="002E512D"/>
    <w:rsid w:val="002E513E"/>
    <w:rsid w:val="002E5230"/>
    <w:rsid w:val="002E527B"/>
    <w:rsid w:val="002E5370"/>
    <w:rsid w:val="002E5460"/>
    <w:rsid w:val="002E5533"/>
    <w:rsid w:val="002E5704"/>
    <w:rsid w:val="002E578B"/>
    <w:rsid w:val="002E57DF"/>
    <w:rsid w:val="002E5DFE"/>
    <w:rsid w:val="002E6090"/>
    <w:rsid w:val="002E6239"/>
    <w:rsid w:val="002E64A4"/>
    <w:rsid w:val="002E665E"/>
    <w:rsid w:val="002E66F3"/>
    <w:rsid w:val="002E695A"/>
    <w:rsid w:val="002E69ED"/>
    <w:rsid w:val="002E6CC1"/>
    <w:rsid w:val="002E6EBA"/>
    <w:rsid w:val="002E6ED8"/>
    <w:rsid w:val="002E6F1D"/>
    <w:rsid w:val="002E6F80"/>
    <w:rsid w:val="002E7060"/>
    <w:rsid w:val="002E70CA"/>
    <w:rsid w:val="002E732C"/>
    <w:rsid w:val="002E75CE"/>
    <w:rsid w:val="002E762E"/>
    <w:rsid w:val="002E7645"/>
    <w:rsid w:val="002E7A28"/>
    <w:rsid w:val="002E7B2E"/>
    <w:rsid w:val="002E7F34"/>
    <w:rsid w:val="002E7FD4"/>
    <w:rsid w:val="002F0414"/>
    <w:rsid w:val="002F0743"/>
    <w:rsid w:val="002F0843"/>
    <w:rsid w:val="002F0867"/>
    <w:rsid w:val="002F08ED"/>
    <w:rsid w:val="002F098A"/>
    <w:rsid w:val="002F0B1A"/>
    <w:rsid w:val="002F0CA2"/>
    <w:rsid w:val="002F0DA6"/>
    <w:rsid w:val="002F1023"/>
    <w:rsid w:val="002F1209"/>
    <w:rsid w:val="002F1215"/>
    <w:rsid w:val="002F1376"/>
    <w:rsid w:val="002F15B4"/>
    <w:rsid w:val="002F16D9"/>
    <w:rsid w:val="002F17C2"/>
    <w:rsid w:val="002F190F"/>
    <w:rsid w:val="002F196D"/>
    <w:rsid w:val="002F1A20"/>
    <w:rsid w:val="002F212D"/>
    <w:rsid w:val="002F2215"/>
    <w:rsid w:val="002F278D"/>
    <w:rsid w:val="002F28DD"/>
    <w:rsid w:val="002F2A53"/>
    <w:rsid w:val="002F2A8E"/>
    <w:rsid w:val="002F2AF7"/>
    <w:rsid w:val="002F2B02"/>
    <w:rsid w:val="002F2B23"/>
    <w:rsid w:val="002F2F13"/>
    <w:rsid w:val="002F3156"/>
    <w:rsid w:val="002F32CE"/>
    <w:rsid w:val="002F3361"/>
    <w:rsid w:val="002F365F"/>
    <w:rsid w:val="002F3AAB"/>
    <w:rsid w:val="002F3B72"/>
    <w:rsid w:val="002F3CE2"/>
    <w:rsid w:val="002F3D40"/>
    <w:rsid w:val="002F3E5F"/>
    <w:rsid w:val="002F3EA6"/>
    <w:rsid w:val="002F3F68"/>
    <w:rsid w:val="002F4037"/>
    <w:rsid w:val="002F4189"/>
    <w:rsid w:val="002F46E9"/>
    <w:rsid w:val="002F470A"/>
    <w:rsid w:val="002F4720"/>
    <w:rsid w:val="002F48BA"/>
    <w:rsid w:val="002F48FD"/>
    <w:rsid w:val="002F4A4E"/>
    <w:rsid w:val="002F4FA3"/>
    <w:rsid w:val="002F5041"/>
    <w:rsid w:val="002F522D"/>
    <w:rsid w:val="002F5723"/>
    <w:rsid w:val="002F577F"/>
    <w:rsid w:val="002F5821"/>
    <w:rsid w:val="002F5A1B"/>
    <w:rsid w:val="002F5A3E"/>
    <w:rsid w:val="002F5E06"/>
    <w:rsid w:val="002F5F64"/>
    <w:rsid w:val="002F6400"/>
    <w:rsid w:val="002F645C"/>
    <w:rsid w:val="002F64DA"/>
    <w:rsid w:val="002F6629"/>
    <w:rsid w:val="002F679F"/>
    <w:rsid w:val="002F6850"/>
    <w:rsid w:val="002F6899"/>
    <w:rsid w:val="002F69B3"/>
    <w:rsid w:val="002F6A55"/>
    <w:rsid w:val="002F6C49"/>
    <w:rsid w:val="002F6E32"/>
    <w:rsid w:val="002F6F4C"/>
    <w:rsid w:val="002F70AB"/>
    <w:rsid w:val="002F729A"/>
    <w:rsid w:val="002F72D1"/>
    <w:rsid w:val="002F7721"/>
    <w:rsid w:val="002F7875"/>
    <w:rsid w:val="002F7DBD"/>
    <w:rsid w:val="002F7EBA"/>
    <w:rsid w:val="0030005A"/>
    <w:rsid w:val="0030025B"/>
    <w:rsid w:val="00300282"/>
    <w:rsid w:val="003002E1"/>
    <w:rsid w:val="00300468"/>
    <w:rsid w:val="003004A5"/>
    <w:rsid w:val="003006A4"/>
    <w:rsid w:val="00300724"/>
    <w:rsid w:val="003007BC"/>
    <w:rsid w:val="0030088D"/>
    <w:rsid w:val="00300C33"/>
    <w:rsid w:val="00300E45"/>
    <w:rsid w:val="00300FC8"/>
    <w:rsid w:val="00301064"/>
    <w:rsid w:val="003010E1"/>
    <w:rsid w:val="00301151"/>
    <w:rsid w:val="003012CF"/>
    <w:rsid w:val="003012DD"/>
    <w:rsid w:val="003019B3"/>
    <w:rsid w:val="00301A4D"/>
    <w:rsid w:val="00301B82"/>
    <w:rsid w:val="00301C43"/>
    <w:rsid w:val="00301D16"/>
    <w:rsid w:val="00301D99"/>
    <w:rsid w:val="0030213F"/>
    <w:rsid w:val="003021F6"/>
    <w:rsid w:val="0030252C"/>
    <w:rsid w:val="00302646"/>
    <w:rsid w:val="003027EB"/>
    <w:rsid w:val="00302898"/>
    <w:rsid w:val="00302DEC"/>
    <w:rsid w:val="00302DF7"/>
    <w:rsid w:val="00302F54"/>
    <w:rsid w:val="00302FC3"/>
    <w:rsid w:val="003030CB"/>
    <w:rsid w:val="00303198"/>
    <w:rsid w:val="0030333A"/>
    <w:rsid w:val="00303439"/>
    <w:rsid w:val="0030346D"/>
    <w:rsid w:val="003037D9"/>
    <w:rsid w:val="00303954"/>
    <w:rsid w:val="00303B0B"/>
    <w:rsid w:val="00303BBE"/>
    <w:rsid w:val="00303C4E"/>
    <w:rsid w:val="00303C76"/>
    <w:rsid w:val="00303DD1"/>
    <w:rsid w:val="00303E6A"/>
    <w:rsid w:val="00303EDB"/>
    <w:rsid w:val="00304040"/>
    <w:rsid w:val="00304280"/>
    <w:rsid w:val="0030433D"/>
    <w:rsid w:val="00304588"/>
    <w:rsid w:val="0030459D"/>
    <w:rsid w:val="00304694"/>
    <w:rsid w:val="00304852"/>
    <w:rsid w:val="00304932"/>
    <w:rsid w:val="00304B9E"/>
    <w:rsid w:val="00304CFA"/>
    <w:rsid w:val="00304D56"/>
    <w:rsid w:val="003050CB"/>
    <w:rsid w:val="003053D1"/>
    <w:rsid w:val="003054AF"/>
    <w:rsid w:val="00305672"/>
    <w:rsid w:val="003057A2"/>
    <w:rsid w:val="003059F3"/>
    <w:rsid w:val="00305A4A"/>
    <w:rsid w:val="00305B2F"/>
    <w:rsid w:val="00305B53"/>
    <w:rsid w:val="00305B71"/>
    <w:rsid w:val="00305D84"/>
    <w:rsid w:val="00305DC3"/>
    <w:rsid w:val="00305DFF"/>
    <w:rsid w:val="00305E8B"/>
    <w:rsid w:val="00305F72"/>
    <w:rsid w:val="00306281"/>
    <w:rsid w:val="00306486"/>
    <w:rsid w:val="00306725"/>
    <w:rsid w:val="003068CA"/>
    <w:rsid w:val="0030697C"/>
    <w:rsid w:val="00306C9C"/>
    <w:rsid w:val="00306CA1"/>
    <w:rsid w:val="00306CAA"/>
    <w:rsid w:val="00306D92"/>
    <w:rsid w:val="00307181"/>
    <w:rsid w:val="00307361"/>
    <w:rsid w:val="00307520"/>
    <w:rsid w:val="0030753B"/>
    <w:rsid w:val="003077F6"/>
    <w:rsid w:val="003078CB"/>
    <w:rsid w:val="003079D9"/>
    <w:rsid w:val="003079F7"/>
    <w:rsid w:val="00307A58"/>
    <w:rsid w:val="00307D0B"/>
    <w:rsid w:val="00307EBE"/>
    <w:rsid w:val="00307F5F"/>
    <w:rsid w:val="003100F8"/>
    <w:rsid w:val="0031049D"/>
    <w:rsid w:val="00310691"/>
    <w:rsid w:val="00310736"/>
    <w:rsid w:val="0031097B"/>
    <w:rsid w:val="00311172"/>
    <w:rsid w:val="0031130F"/>
    <w:rsid w:val="0031136C"/>
    <w:rsid w:val="003115EE"/>
    <w:rsid w:val="00311727"/>
    <w:rsid w:val="003118A4"/>
    <w:rsid w:val="00311A02"/>
    <w:rsid w:val="00311B0B"/>
    <w:rsid w:val="00311B35"/>
    <w:rsid w:val="00311B4A"/>
    <w:rsid w:val="00311BA2"/>
    <w:rsid w:val="00311BFF"/>
    <w:rsid w:val="00311C42"/>
    <w:rsid w:val="00311D01"/>
    <w:rsid w:val="00311DC3"/>
    <w:rsid w:val="00311EEA"/>
    <w:rsid w:val="00311F58"/>
    <w:rsid w:val="003122F8"/>
    <w:rsid w:val="003123ED"/>
    <w:rsid w:val="00312446"/>
    <w:rsid w:val="003125C5"/>
    <w:rsid w:val="00312630"/>
    <w:rsid w:val="003128E7"/>
    <w:rsid w:val="0031290F"/>
    <w:rsid w:val="00312927"/>
    <w:rsid w:val="003129AB"/>
    <w:rsid w:val="00312A3C"/>
    <w:rsid w:val="00312B27"/>
    <w:rsid w:val="00312C07"/>
    <w:rsid w:val="00312C61"/>
    <w:rsid w:val="00312D0B"/>
    <w:rsid w:val="00313180"/>
    <w:rsid w:val="003132D2"/>
    <w:rsid w:val="00313364"/>
    <w:rsid w:val="00313585"/>
    <w:rsid w:val="00313694"/>
    <w:rsid w:val="00313AA3"/>
    <w:rsid w:val="00313B3A"/>
    <w:rsid w:val="00313BFC"/>
    <w:rsid w:val="00314001"/>
    <w:rsid w:val="00314054"/>
    <w:rsid w:val="0031416F"/>
    <w:rsid w:val="00314565"/>
    <w:rsid w:val="003147B1"/>
    <w:rsid w:val="00314CB9"/>
    <w:rsid w:val="00314F39"/>
    <w:rsid w:val="00314FFE"/>
    <w:rsid w:val="00315048"/>
    <w:rsid w:val="003151B8"/>
    <w:rsid w:val="00315494"/>
    <w:rsid w:val="00315497"/>
    <w:rsid w:val="0031599A"/>
    <w:rsid w:val="00315D50"/>
    <w:rsid w:val="00315FE0"/>
    <w:rsid w:val="00316109"/>
    <w:rsid w:val="0031613E"/>
    <w:rsid w:val="00316521"/>
    <w:rsid w:val="003167A3"/>
    <w:rsid w:val="00316B0E"/>
    <w:rsid w:val="00316BE9"/>
    <w:rsid w:val="00316CFF"/>
    <w:rsid w:val="00316DA7"/>
    <w:rsid w:val="00316ED4"/>
    <w:rsid w:val="00316F22"/>
    <w:rsid w:val="003170C8"/>
    <w:rsid w:val="00317306"/>
    <w:rsid w:val="00317496"/>
    <w:rsid w:val="003174B0"/>
    <w:rsid w:val="003176BC"/>
    <w:rsid w:val="00317B88"/>
    <w:rsid w:val="00317D4F"/>
    <w:rsid w:val="00320136"/>
    <w:rsid w:val="003203B3"/>
    <w:rsid w:val="0032042D"/>
    <w:rsid w:val="003204FE"/>
    <w:rsid w:val="003205B9"/>
    <w:rsid w:val="00320702"/>
    <w:rsid w:val="00320D42"/>
    <w:rsid w:val="00320F2A"/>
    <w:rsid w:val="00320F30"/>
    <w:rsid w:val="00320FB2"/>
    <w:rsid w:val="0032108A"/>
    <w:rsid w:val="00321181"/>
    <w:rsid w:val="003215DF"/>
    <w:rsid w:val="003216BA"/>
    <w:rsid w:val="003216DA"/>
    <w:rsid w:val="003216F6"/>
    <w:rsid w:val="003217F7"/>
    <w:rsid w:val="00321844"/>
    <w:rsid w:val="003218EF"/>
    <w:rsid w:val="00321E93"/>
    <w:rsid w:val="0032209D"/>
    <w:rsid w:val="003221D8"/>
    <w:rsid w:val="00322232"/>
    <w:rsid w:val="0032251D"/>
    <w:rsid w:val="00322634"/>
    <w:rsid w:val="003226F6"/>
    <w:rsid w:val="0032279F"/>
    <w:rsid w:val="0032286D"/>
    <w:rsid w:val="003229C3"/>
    <w:rsid w:val="00322A18"/>
    <w:rsid w:val="00322A81"/>
    <w:rsid w:val="00322AD0"/>
    <w:rsid w:val="00322DD9"/>
    <w:rsid w:val="00322F25"/>
    <w:rsid w:val="003231A2"/>
    <w:rsid w:val="00323522"/>
    <w:rsid w:val="00323614"/>
    <w:rsid w:val="003237A3"/>
    <w:rsid w:val="003237F0"/>
    <w:rsid w:val="00323810"/>
    <w:rsid w:val="003239D5"/>
    <w:rsid w:val="00323C2A"/>
    <w:rsid w:val="00323E29"/>
    <w:rsid w:val="003240EE"/>
    <w:rsid w:val="00324172"/>
    <w:rsid w:val="003244BB"/>
    <w:rsid w:val="00324642"/>
    <w:rsid w:val="00324781"/>
    <w:rsid w:val="00324864"/>
    <w:rsid w:val="003248C6"/>
    <w:rsid w:val="00324B59"/>
    <w:rsid w:val="00324BE2"/>
    <w:rsid w:val="00324CFF"/>
    <w:rsid w:val="00324D77"/>
    <w:rsid w:val="00324FC0"/>
    <w:rsid w:val="003255DF"/>
    <w:rsid w:val="00325925"/>
    <w:rsid w:val="00325B09"/>
    <w:rsid w:val="00325D2B"/>
    <w:rsid w:val="00325DA4"/>
    <w:rsid w:val="00325E09"/>
    <w:rsid w:val="00325F21"/>
    <w:rsid w:val="00325F70"/>
    <w:rsid w:val="003260FE"/>
    <w:rsid w:val="00326114"/>
    <w:rsid w:val="00326285"/>
    <w:rsid w:val="0032629E"/>
    <w:rsid w:val="0032671B"/>
    <w:rsid w:val="0032696A"/>
    <w:rsid w:val="00327007"/>
    <w:rsid w:val="003270F7"/>
    <w:rsid w:val="0032718A"/>
    <w:rsid w:val="00327870"/>
    <w:rsid w:val="00327886"/>
    <w:rsid w:val="00327C00"/>
    <w:rsid w:val="00327C7F"/>
    <w:rsid w:val="00327D57"/>
    <w:rsid w:val="00327D6E"/>
    <w:rsid w:val="00327E1B"/>
    <w:rsid w:val="003301E6"/>
    <w:rsid w:val="0033025C"/>
    <w:rsid w:val="003305F6"/>
    <w:rsid w:val="00330689"/>
    <w:rsid w:val="00330834"/>
    <w:rsid w:val="00330AC0"/>
    <w:rsid w:val="00330D08"/>
    <w:rsid w:val="00330DD7"/>
    <w:rsid w:val="00330DFD"/>
    <w:rsid w:val="00330E0A"/>
    <w:rsid w:val="003310F3"/>
    <w:rsid w:val="003312BF"/>
    <w:rsid w:val="00331515"/>
    <w:rsid w:val="0033199D"/>
    <w:rsid w:val="00331A2E"/>
    <w:rsid w:val="00332021"/>
    <w:rsid w:val="00332405"/>
    <w:rsid w:val="0033251F"/>
    <w:rsid w:val="0033258E"/>
    <w:rsid w:val="00332636"/>
    <w:rsid w:val="0033275A"/>
    <w:rsid w:val="00332782"/>
    <w:rsid w:val="003327DE"/>
    <w:rsid w:val="003328EC"/>
    <w:rsid w:val="00332E65"/>
    <w:rsid w:val="00333082"/>
    <w:rsid w:val="00333332"/>
    <w:rsid w:val="003333F0"/>
    <w:rsid w:val="003336D3"/>
    <w:rsid w:val="00333AC3"/>
    <w:rsid w:val="00333B0A"/>
    <w:rsid w:val="00333B5D"/>
    <w:rsid w:val="0033424A"/>
    <w:rsid w:val="0033465B"/>
    <w:rsid w:val="00334858"/>
    <w:rsid w:val="00334C0D"/>
    <w:rsid w:val="00334CC5"/>
    <w:rsid w:val="00334DEB"/>
    <w:rsid w:val="00334E9B"/>
    <w:rsid w:val="00334EEB"/>
    <w:rsid w:val="00334F7C"/>
    <w:rsid w:val="00334FFC"/>
    <w:rsid w:val="00335426"/>
    <w:rsid w:val="00335560"/>
    <w:rsid w:val="00335819"/>
    <w:rsid w:val="00335A60"/>
    <w:rsid w:val="00335D4C"/>
    <w:rsid w:val="00335FD4"/>
    <w:rsid w:val="00335FFE"/>
    <w:rsid w:val="00336020"/>
    <w:rsid w:val="00336064"/>
    <w:rsid w:val="0033622C"/>
    <w:rsid w:val="00336404"/>
    <w:rsid w:val="003368AB"/>
    <w:rsid w:val="003368C6"/>
    <w:rsid w:val="0033698A"/>
    <w:rsid w:val="003369A7"/>
    <w:rsid w:val="00336D3E"/>
    <w:rsid w:val="00336DA2"/>
    <w:rsid w:val="00336DCA"/>
    <w:rsid w:val="00336E73"/>
    <w:rsid w:val="00336EB8"/>
    <w:rsid w:val="003370C6"/>
    <w:rsid w:val="00337203"/>
    <w:rsid w:val="003373BC"/>
    <w:rsid w:val="00337504"/>
    <w:rsid w:val="00337838"/>
    <w:rsid w:val="00337964"/>
    <w:rsid w:val="00337974"/>
    <w:rsid w:val="00337AA3"/>
    <w:rsid w:val="003402A7"/>
    <w:rsid w:val="0034056E"/>
    <w:rsid w:val="00340B7C"/>
    <w:rsid w:val="00341046"/>
    <w:rsid w:val="00341083"/>
    <w:rsid w:val="003410F2"/>
    <w:rsid w:val="00341218"/>
    <w:rsid w:val="0034126D"/>
    <w:rsid w:val="003413EB"/>
    <w:rsid w:val="0034169C"/>
    <w:rsid w:val="00341BC4"/>
    <w:rsid w:val="00341FB2"/>
    <w:rsid w:val="003421AD"/>
    <w:rsid w:val="003421C8"/>
    <w:rsid w:val="00342357"/>
    <w:rsid w:val="003424B7"/>
    <w:rsid w:val="003425B5"/>
    <w:rsid w:val="003425B8"/>
    <w:rsid w:val="003426DD"/>
    <w:rsid w:val="00342B04"/>
    <w:rsid w:val="00343091"/>
    <w:rsid w:val="00343237"/>
    <w:rsid w:val="0034351A"/>
    <w:rsid w:val="00343920"/>
    <w:rsid w:val="00343F20"/>
    <w:rsid w:val="00343F38"/>
    <w:rsid w:val="003441B8"/>
    <w:rsid w:val="0034420D"/>
    <w:rsid w:val="003443C7"/>
    <w:rsid w:val="003444D8"/>
    <w:rsid w:val="00344543"/>
    <w:rsid w:val="003447BE"/>
    <w:rsid w:val="003448CC"/>
    <w:rsid w:val="003449CB"/>
    <w:rsid w:val="00344A43"/>
    <w:rsid w:val="00344A74"/>
    <w:rsid w:val="00344C51"/>
    <w:rsid w:val="00344DC1"/>
    <w:rsid w:val="00344E94"/>
    <w:rsid w:val="00344EA8"/>
    <w:rsid w:val="00344EC5"/>
    <w:rsid w:val="00345015"/>
    <w:rsid w:val="00345068"/>
    <w:rsid w:val="00345071"/>
    <w:rsid w:val="00345232"/>
    <w:rsid w:val="0034534C"/>
    <w:rsid w:val="003453F4"/>
    <w:rsid w:val="00345502"/>
    <w:rsid w:val="0034567B"/>
    <w:rsid w:val="00345A64"/>
    <w:rsid w:val="00345A6D"/>
    <w:rsid w:val="00345C01"/>
    <w:rsid w:val="00345D3F"/>
    <w:rsid w:val="00345D4B"/>
    <w:rsid w:val="00345F2F"/>
    <w:rsid w:val="003460BD"/>
    <w:rsid w:val="00346387"/>
    <w:rsid w:val="00346746"/>
    <w:rsid w:val="00346760"/>
    <w:rsid w:val="00346CFB"/>
    <w:rsid w:val="00346FD0"/>
    <w:rsid w:val="00347051"/>
    <w:rsid w:val="00347086"/>
    <w:rsid w:val="0034715F"/>
    <w:rsid w:val="003475F6"/>
    <w:rsid w:val="0034770E"/>
    <w:rsid w:val="0034775D"/>
    <w:rsid w:val="00347942"/>
    <w:rsid w:val="00347B39"/>
    <w:rsid w:val="00347DE8"/>
    <w:rsid w:val="00350177"/>
    <w:rsid w:val="003505D1"/>
    <w:rsid w:val="003505E7"/>
    <w:rsid w:val="00350869"/>
    <w:rsid w:val="00350895"/>
    <w:rsid w:val="0035090B"/>
    <w:rsid w:val="00350C09"/>
    <w:rsid w:val="00351043"/>
    <w:rsid w:val="003512F0"/>
    <w:rsid w:val="003518E6"/>
    <w:rsid w:val="00351ACB"/>
    <w:rsid w:val="00351B6C"/>
    <w:rsid w:val="00351C66"/>
    <w:rsid w:val="0035227B"/>
    <w:rsid w:val="003527F8"/>
    <w:rsid w:val="00352950"/>
    <w:rsid w:val="00352A27"/>
    <w:rsid w:val="00352A5A"/>
    <w:rsid w:val="00352DCA"/>
    <w:rsid w:val="00352DCB"/>
    <w:rsid w:val="00352F03"/>
    <w:rsid w:val="003530F9"/>
    <w:rsid w:val="00353496"/>
    <w:rsid w:val="00353516"/>
    <w:rsid w:val="003538F8"/>
    <w:rsid w:val="00353A3B"/>
    <w:rsid w:val="00353CE3"/>
    <w:rsid w:val="00353CEB"/>
    <w:rsid w:val="00354087"/>
    <w:rsid w:val="0035450C"/>
    <w:rsid w:val="00354556"/>
    <w:rsid w:val="00354811"/>
    <w:rsid w:val="0035492D"/>
    <w:rsid w:val="00354B93"/>
    <w:rsid w:val="00354E0F"/>
    <w:rsid w:val="00354E66"/>
    <w:rsid w:val="00354F8F"/>
    <w:rsid w:val="00355084"/>
    <w:rsid w:val="0035511A"/>
    <w:rsid w:val="0035554F"/>
    <w:rsid w:val="003555CE"/>
    <w:rsid w:val="003556E6"/>
    <w:rsid w:val="003556FF"/>
    <w:rsid w:val="0035573F"/>
    <w:rsid w:val="00355893"/>
    <w:rsid w:val="0035598D"/>
    <w:rsid w:val="00355B59"/>
    <w:rsid w:val="00355C03"/>
    <w:rsid w:val="00355C47"/>
    <w:rsid w:val="00355DF1"/>
    <w:rsid w:val="00355E41"/>
    <w:rsid w:val="00355E5B"/>
    <w:rsid w:val="00355E61"/>
    <w:rsid w:val="00355EB5"/>
    <w:rsid w:val="00355F43"/>
    <w:rsid w:val="003563F6"/>
    <w:rsid w:val="003564F0"/>
    <w:rsid w:val="003568B6"/>
    <w:rsid w:val="00356CD0"/>
    <w:rsid w:val="00356D4F"/>
    <w:rsid w:val="00356DE3"/>
    <w:rsid w:val="00357314"/>
    <w:rsid w:val="00357703"/>
    <w:rsid w:val="0035786A"/>
    <w:rsid w:val="00357890"/>
    <w:rsid w:val="00357963"/>
    <w:rsid w:val="003579D7"/>
    <w:rsid w:val="00357A55"/>
    <w:rsid w:val="00357A8D"/>
    <w:rsid w:val="00357B36"/>
    <w:rsid w:val="00357E69"/>
    <w:rsid w:val="00357EEE"/>
    <w:rsid w:val="00357F3F"/>
    <w:rsid w:val="00357FB8"/>
    <w:rsid w:val="0036016A"/>
    <w:rsid w:val="003601DC"/>
    <w:rsid w:val="003604CA"/>
    <w:rsid w:val="0036056A"/>
    <w:rsid w:val="00360727"/>
    <w:rsid w:val="003608D6"/>
    <w:rsid w:val="00360ACE"/>
    <w:rsid w:val="00360D8B"/>
    <w:rsid w:val="00360D9F"/>
    <w:rsid w:val="00360E13"/>
    <w:rsid w:val="00360EAD"/>
    <w:rsid w:val="00360EAE"/>
    <w:rsid w:val="00361442"/>
    <w:rsid w:val="00361673"/>
    <w:rsid w:val="003616A1"/>
    <w:rsid w:val="003618AF"/>
    <w:rsid w:val="00361938"/>
    <w:rsid w:val="00361970"/>
    <w:rsid w:val="00361BBF"/>
    <w:rsid w:val="00361C8D"/>
    <w:rsid w:val="00361FA5"/>
    <w:rsid w:val="00361FC3"/>
    <w:rsid w:val="00362112"/>
    <w:rsid w:val="0036221F"/>
    <w:rsid w:val="0036247F"/>
    <w:rsid w:val="00362519"/>
    <w:rsid w:val="003626BD"/>
    <w:rsid w:val="0036284A"/>
    <w:rsid w:val="00362A91"/>
    <w:rsid w:val="00362BD6"/>
    <w:rsid w:val="00362D77"/>
    <w:rsid w:val="00362E4E"/>
    <w:rsid w:val="00362E6F"/>
    <w:rsid w:val="003630D4"/>
    <w:rsid w:val="00363567"/>
    <w:rsid w:val="00363573"/>
    <w:rsid w:val="003635D5"/>
    <w:rsid w:val="0036376E"/>
    <w:rsid w:val="0036415D"/>
    <w:rsid w:val="00364289"/>
    <w:rsid w:val="003642CD"/>
    <w:rsid w:val="00364352"/>
    <w:rsid w:val="003645AB"/>
    <w:rsid w:val="003645CB"/>
    <w:rsid w:val="00364D59"/>
    <w:rsid w:val="00364DB4"/>
    <w:rsid w:val="00364E0F"/>
    <w:rsid w:val="00364EFE"/>
    <w:rsid w:val="00365240"/>
    <w:rsid w:val="003653A6"/>
    <w:rsid w:val="00365701"/>
    <w:rsid w:val="003657FA"/>
    <w:rsid w:val="003659AD"/>
    <w:rsid w:val="00365A05"/>
    <w:rsid w:val="00365C47"/>
    <w:rsid w:val="00365E22"/>
    <w:rsid w:val="00365F5B"/>
    <w:rsid w:val="003660BB"/>
    <w:rsid w:val="00366149"/>
    <w:rsid w:val="0036646E"/>
    <w:rsid w:val="003664AC"/>
    <w:rsid w:val="0036672A"/>
    <w:rsid w:val="003667C2"/>
    <w:rsid w:val="00366807"/>
    <w:rsid w:val="00366A35"/>
    <w:rsid w:val="00366D16"/>
    <w:rsid w:val="003670F6"/>
    <w:rsid w:val="0036714D"/>
    <w:rsid w:val="003672A3"/>
    <w:rsid w:val="003675F0"/>
    <w:rsid w:val="003676A7"/>
    <w:rsid w:val="003676FC"/>
    <w:rsid w:val="00367B18"/>
    <w:rsid w:val="00367E93"/>
    <w:rsid w:val="003700CC"/>
    <w:rsid w:val="003701BD"/>
    <w:rsid w:val="00370265"/>
    <w:rsid w:val="003702EC"/>
    <w:rsid w:val="003703E6"/>
    <w:rsid w:val="00370641"/>
    <w:rsid w:val="003706B0"/>
    <w:rsid w:val="00370798"/>
    <w:rsid w:val="00370BC0"/>
    <w:rsid w:val="00370D3F"/>
    <w:rsid w:val="00370DF1"/>
    <w:rsid w:val="00370E21"/>
    <w:rsid w:val="00370FD7"/>
    <w:rsid w:val="00371079"/>
    <w:rsid w:val="00371104"/>
    <w:rsid w:val="003712EF"/>
    <w:rsid w:val="00371314"/>
    <w:rsid w:val="00371443"/>
    <w:rsid w:val="003716C7"/>
    <w:rsid w:val="003717F7"/>
    <w:rsid w:val="003717FD"/>
    <w:rsid w:val="003719E5"/>
    <w:rsid w:val="00371B06"/>
    <w:rsid w:val="00371DC3"/>
    <w:rsid w:val="00372055"/>
    <w:rsid w:val="003720F8"/>
    <w:rsid w:val="00372210"/>
    <w:rsid w:val="0037227A"/>
    <w:rsid w:val="00372374"/>
    <w:rsid w:val="0037253E"/>
    <w:rsid w:val="00372672"/>
    <w:rsid w:val="003729BF"/>
    <w:rsid w:val="00372A79"/>
    <w:rsid w:val="00373035"/>
    <w:rsid w:val="0037333E"/>
    <w:rsid w:val="00373453"/>
    <w:rsid w:val="003735CD"/>
    <w:rsid w:val="003736D6"/>
    <w:rsid w:val="003738ED"/>
    <w:rsid w:val="00373CC4"/>
    <w:rsid w:val="00373E8E"/>
    <w:rsid w:val="0037404C"/>
    <w:rsid w:val="003743A6"/>
    <w:rsid w:val="003743B4"/>
    <w:rsid w:val="003743C8"/>
    <w:rsid w:val="0037442B"/>
    <w:rsid w:val="00374718"/>
    <w:rsid w:val="00374D3A"/>
    <w:rsid w:val="00374E85"/>
    <w:rsid w:val="00375073"/>
    <w:rsid w:val="00375121"/>
    <w:rsid w:val="003754B2"/>
    <w:rsid w:val="00375563"/>
    <w:rsid w:val="0037590F"/>
    <w:rsid w:val="00375964"/>
    <w:rsid w:val="00375AB1"/>
    <w:rsid w:val="00375AE6"/>
    <w:rsid w:val="00375E11"/>
    <w:rsid w:val="00375E63"/>
    <w:rsid w:val="00375FB3"/>
    <w:rsid w:val="0037676D"/>
    <w:rsid w:val="0037685A"/>
    <w:rsid w:val="003769AE"/>
    <w:rsid w:val="00376BB4"/>
    <w:rsid w:val="00376BE9"/>
    <w:rsid w:val="00376D01"/>
    <w:rsid w:val="00376DA8"/>
    <w:rsid w:val="00376E3B"/>
    <w:rsid w:val="00376EC2"/>
    <w:rsid w:val="00376FF1"/>
    <w:rsid w:val="00377154"/>
    <w:rsid w:val="00377240"/>
    <w:rsid w:val="0037734A"/>
    <w:rsid w:val="00377440"/>
    <w:rsid w:val="0037774E"/>
    <w:rsid w:val="00377759"/>
    <w:rsid w:val="00377862"/>
    <w:rsid w:val="003778EF"/>
    <w:rsid w:val="0037792A"/>
    <w:rsid w:val="00377B00"/>
    <w:rsid w:val="00377D50"/>
    <w:rsid w:val="00377DBE"/>
    <w:rsid w:val="00377E31"/>
    <w:rsid w:val="00377EC5"/>
    <w:rsid w:val="003800FF"/>
    <w:rsid w:val="0038026F"/>
    <w:rsid w:val="00380357"/>
    <w:rsid w:val="00380399"/>
    <w:rsid w:val="0038081C"/>
    <w:rsid w:val="003808C7"/>
    <w:rsid w:val="003808FF"/>
    <w:rsid w:val="003809DD"/>
    <w:rsid w:val="00380B52"/>
    <w:rsid w:val="00380B57"/>
    <w:rsid w:val="00380D4D"/>
    <w:rsid w:val="00380F1C"/>
    <w:rsid w:val="00380F60"/>
    <w:rsid w:val="003811E5"/>
    <w:rsid w:val="00381210"/>
    <w:rsid w:val="00381292"/>
    <w:rsid w:val="0038134B"/>
    <w:rsid w:val="00381594"/>
    <w:rsid w:val="00381616"/>
    <w:rsid w:val="00381753"/>
    <w:rsid w:val="00381879"/>
    <w:rsid w:val="0038192D"/>
    <w:rsid w:val="00381A1B"/>
    <w:rsid w:val="00381A95"/>
    <w:rsid w:val="00381B57"/>
    <w:rsid w:val="00381C12"/>
    <w:rsid w:val="00381C17"/>
    <w:rsid w:val="00381D5D"/>
    <w:rsid w:val="00381EAB"/>
    <w:rsid w:val="00381EC5"/>
    <w:rsid w:val="00382041"/>
    <w:rsid w:val="00382296"/>
    <w:rsid w:val="003822DE"/>
    <w:rsid w:val="003824A3"/>
    <w:rsid w:val="003824F2"/>
    <w:rsid w:val="003825D3"/>
    <w:rsid w:val="0038261E"/>
    <w:rsid w:val="00382B97"/>
    <w:rsid w:val="00382CC0"/>
    <w:rsid w:val="00382D82"/>
    <w:rsid w:val="0038317A"/>
    <w:rsid w:val="003831AB"/>
    <w:rsid w:val="00383299"/>
    <w:rsid w:val="003833C8"/>
    <w:rsid w:val="00383575"/>
    <w:rsid w:val="00383586"/>
    <w:rsid w:val="00383ADE"/>
    <w:rsid w:val="00383B72"/>
    <w:rsid w:val="00383D84"/>
    <w:rsid w:val="00383DD6"/>
    <w:rsid w:val="00383E4B"/>
    <w:rsid w:val="00383F35"/>
    <w:rsid w:val="0038403F"/>
    <w:rsid w:val="0038417A"/>
    <w:rsid w:val="003841DB"/>
    <w:rsid w:val="00384240"/>
    <w:rsid w:val="003842C3"/>
    <w:rsid w:val="0038460B"/>
    <w:rsid w:val="00384703"/>
    <w:rsid w:val="00384780"/>
    <w:rsid w:val="0038489F"/>
    <w:rsid w:val="003849CF"/>
    <w:rsid w:val="00385208"/>
    <w:rsid w:val="00385438"/>
    <w:rsid w:val="00385456"/>
    <w:rsid w:val="00385585"/>
    <w:rsid w:val="003857C2"/>
    <w:rsid w:val="00385CA9"/>
    <w:rsid w:val="00385D57"/>
    <w:rsid w:val="00385E1B"/>
    <w:rsid w:val="0038633F"/>
    <w:rsid w:val="0038655A"/>
    <w:rsid w:val="003865BE"/>
    <w:rsid w:val="0038723B"/>
    <w:rsid w:val="0038742C"/>
    <w:rsid w:val="0038749A"/>
    <w:rsid w:val="0038796E"/>
    <w:rsid w:val="00387C1E"/>
    <w:rsid w:val="00387C7F"/>
    <w:rsid w:val="00387DE9"/>
    <w:rsid w:val="00387E43"/>
    <w:rsid w:val="00387FD4"/>
    <w:rsid w:val="003900F2"/>
    <w:rsid w:val="00390143"/>
    <w:rsid w:val="00390226"/>
    <w:rsid w:val="003902D9"/>
    <w:rsid w:val="00390527"/>
    <w:rsid w:val="0039054F"/>
    <w:rsid w:val="0039063A"/>
    <w:rsid w:val="00390704"/>
    <w:rsid w:val="00390792"/>
    <w:rsid w:val="00390BE2"/>
    <w:rsid w:val="00390CC7"/>
    <w:rsid w:val="00390D42"/>
    <w:rsid w:val="00390D6C"/>
    <w:rsid w:val="00390E04"/>
    <w:rsid w:val="00390E5D"/>
    <w:rsid w:val="00390EA5"/>
    <w:rsid w:val="00391051"/>
    <w:rsid w:val="003911AD"/>
    <w:rsid w:val="003915C8"/>
    <w:rsid w:val="00391679"/>
    <w:rsid w:val="00391735"/>
    <w:rsid w:val="00391860"/>
    <w:rsid w:val="00391866"/>
    <w:rsid w:val="00391B04"/>
    <w:rsid w:val="00391BF9"/>
    <w:rsid w:val="00391CEB"/>
    <w:rsid w:val="00392132"/>
    <w:rsid w:val="00392430"/>
    <w:rsid w:val="00392447"/>
    <w:rsid w:val="0039255D"/>
    <w:rsid w:val="0039259B"/>
    <w:rsid w:val="003926DA"/>
    <w:rsid w:val="0039275C"/>
    <w:rsid w:val="003928E9"/>
    <w:rsid w:val="00392BE7"/>
    <w:rsid w:val="00392D9F"/>
    <w:rsid w:val="00392DC4"/>
    <w:rsid w:val="00392E90"/>
    <w:rsid w:val="003930C2"/>
    <w:rsid w:val="0039367E"/>
    <w:rsid w:val="00393974"/>
    <w:rsid w:val="003939F6"/>
    <w:rsid w:val="00393CD5"/>
    <w:rsid w:val="00394013"/>
    <w:rsid w:val="003940EA"/>
    <w:rsid w:val="00394210"/>
    <w:rsid w:val="00394302"/>
    <w:rsid w:val="003944B9"/>
    <w:rsid w:val="003945C0"/>
    <w:rsid w:val="00394621"/>
    <w:rsid w:val="003946AE"/>
    <w:rsid w:val="00394A06"/>
    <w:rsid w:val="00394C3C"/>
    <w:rsid w:val="00394D8D"/>
    <w:rsid w:val="00394D95"/>
    <w:rsid w:val="00394FBB"/>
    <w:rsid w:val="003952B0"/>
    <w:rsid w:val="00395342"/>
    <w:rsid w:val="0039572D"/>
    <w:rsid w:val="00395867"/>
    <w:rsid w:val="00395913"/>
    <w:rsid w:val="00395930"/>
    <w:rsid w:val="00395A0D"/>
    <w:rsid w:val="00395AA8"/>
    <w:rsid w:val="00395B25"/>
    <w:rsid w:val="00395C9B"/>
    <w:rsid w:val="00395DF7"/>
    <w:rsid w:val="0039612B"/>
    <w:rsid w:val="0039652F"/>
    <w:rsid w:val="0039659E"/>
    <w:rsid w:val="00396851"/>
    <w:rsid w:val="00396968"/>
    <w:rsid w:val="00396B38"/>
    <w:rsid w:val="00396C54"/>
    <w:rsid w:val="003972DA"/>
    <w:rsid w:val="003973E6"/>
    <w:rsid w:val="00397406"/>
    <w:rsid w:val="0039742D"/>
    <w:rsid w:val="003974F1"/>
    <w:rsid w:val="0039774E"/>
    <w:rsid w:val="0039785B"/>
    <w:rsid w:val="00397888"/>
    <w:rsid w:val="00397934"/>
    <w:rsid w:val="0039795C"/>
    <w:rsid w:val="00397DB9"/>
    <w:rsid w:val="00397F6F"/>
    <w:rsid w:val="003A040D"/>
    <w:rsid w:val="003A0A9D"/>
    <w:rsid w:val="003A0AF7"/>
    <w:rsid w:val="003A0B24"/>
    <w:rsid w:val="003A102F"/>
    <w:rsid w:val="003A1270"/>
    <w:rsid w:val="003A155A"/>
    <w:rsid w:val="003A1695"/>
    <w:rsid w:val="003A172E"/>
    <w:rsid w:val="003A173E"/>
    <w:rsid w:val="003A1955"/>
    <w:rsid w:val="003A1961"/>
    <w:rsid w:val="003A1DEA"/>
    <w:rsid w:val="003A1F46"/>
    <w:rsid w:val="003A1F52"/>
    <w:rsid w:val="003A1F98"/>
    <w:rsid w:val="003A2035"/>
    <w:rsid w:val="003A2164"/>
    <w:rsid w:val="003A23EA"/>
    <w:rsid w:val="003A246A"/>
    <w:rsid w:val="003A257E"/>
    <w:rsid w:val="003A27DA"/>
    <w:rsid w:val="003A281F"/>
    <w:rsid w:val="003A2949"/>
    <w:rsid w:val="003A2966"/>
    <w:rsid w:val="003A2B6B"/>
    <w:rsid w:val="003A2BA3"/>
    <w:rsid w:val="003A2CDE"/>
    <w:rsid w:val="003A2DA9"/>
    <w:rsid w:val="003A329C"/>
    <w:rsid w:val="003A353D"/>
    <w:rsid w:val="003A35D9"/>
    <w:rsid w:val="003A360A"/>
    <w:rsid w:val="003A366A"/>
    <w:rsid w:val="003A3738"/>
    <w:rsid w:val="003A3753"/>
    <w:rsid w:val="003A387B"/>
    <w:rsid w:val="003A38F9"/>
    <w:rsid w:val="003A3981"/>
    <w:rsid w:val="003A39FF"/>
    <w:rsid w:val="003A3A84"/>
    <w:rsid w:val="003A3C70"/>
    <w:rsid w:val="003A3C77"/>
    <w:rsid w:val="003A3C85"/>
    <w:rsid w:val="003A3D4F"/>
    <w:rsid w:val="003A3EF1"/>
    <w:rsid w:val="003A4152"/>
    <w:rsid w:val="003A41E1"/>
    <w:rsid w:val="003A43A3"/>
    <w:rsid w:val="003A43DF"/>
    <w:rsid w:val="003A43ED"/>
    <w:rsid w:val="003A45C4"/>
    <w:rsid w:val="003A470B"/>
    <w:rsid w:val="003A48E6"/>
    <w:rsid w:val="003A49ED"/>
    <w:rsid w:val="003A4A1B"/>
    <w:rsid w:val="003A4E97"/>
    <w:rsid w:val="003A51D0"/>
    <w:rsid w:val="003A5262"/>
    <w:rsid w:val="003A52F7"/>
    <w:rsid w:val="003A56CE"/>
    <w:rsid w:val="003A586A"/>
    <w:rsid w:val="003A5A0A"/>
    <w:rsid w:val="003A6136"/>
    <w:rsid w:val="003A6253"/>
    <w:rsid w:val="003A67E1"/>
    <w:rsid w:val="003A682C"/>
    <w:rsid w:val="003A6AD5"/>
    <w:rsid w:val="003A6B20"/>
    <w:rsid w:val="003A6BF6"/>
    <w:rsid w:val="003A6D4C"/>
    <w:rsid w:val="003A6E09"/>
    <w:rsid w:val="003A6F2E"/>
    <w:rsid w:val="003A7024"/>
    <w:rsid w:val="003A766D"/>
    <w:rsid w:val="003A7744"/>
    <w:rsid w:val="003A7834"/>
    <w:rsid w:val="003A7944"/>
    <w:rsid w:val="003A7A04"/>
    <w:rsid w:val="003A7B1B"/>
    <w:rsid w:val="003A7D88"/>
    <w:rsid w:val="003A7D91"/>
    <w:rsid w:val="003A7E11"/>
    <w:rsid w:val="003B018F"/>
    <w:rsid w:val="003B0226"/>
    <w:rsid w:val="003B031A"/>
    <w:rsid w:val="003B0471"/>
    <w:rsid w:val="003B0AA8"/>
    <w:rsid w:val="003B0B4F"/>
    <w:rsid w:val="003B0D3F"/>
    <w:rsid w:val="003B0DFC"/>
    <w:rsid w:val="003B0E35"/>
    <w:rsid w:val="003B0EF1"/>
    <w:rsid w:val="003B0F65"/>
    <w:rsid w:val="003B116C"/>
    <w:rsid w:val="003B1333"/>
    <w:rsid w:val="003B140A"/>
    <w:rsid w:val="003B149B"/>
    <w:rsid w:val="003B14D7"/>
    <w:rsid w:val="003B14F2"/>
    <w:rsid w:val="003B1520"/>
    <w:rsid w:val="003B15FE"/>
    <w:rsid w:val="003B1692"/>
    <w:rsid w:val="003B16A9"/>
    <w:rsid w:val="003B1748"/>
    <w:rsid w:val="003B1900"/>
    <w:rsid w:val="003B1A2A"/>
    <w:rsid w:val="003B1D5A"/>
    <w:rsid w:val="003B1E42"/>
    <w:rsid w:val="003B1FEA"/>
    <w:rsid w:val="003B2521"/>
    <w:rsid w:val="003B25DA"/>
    <w:rsid w:val="003B27AF"/>
    <w:rsid w:val="003B28B9"/>
    <w:rsid w:val="003B2944"/>
    <w:rsid w:val="003B29F2"/>
    <w:rsid w:val="003B2BD7"/>
    <w:rsid w:val="003B3697"/>
    <w:rsid w:val="003B39B1"/>
    <w:rsid w:val="003B3A61"/>
    <w:rsid w:val="003B3AAD"/>
    <w:rsid w:val="003B3BCD"/>
    <w:rsid w:val="003B4BFE"/>
    <w:rsid w:val="003B4E3C"/>
    <w:rsid w:val="003B4EDB"/>
    <w:rsid w:val="003B50E4"/>
    <w:rsid w:val="003B5212"/>
    <w:rsid w:val="003B5524"/>
    <w:rsid w:val="003B56C1"/>
    <w:rsid w:val="003B57D1"/>
    <w:rsid w:val="003B5ABD"/>
    <w:rsid w:val="003B5B37"/>
    <w:rsid w:val="003B5BBC"/>
    <w:rsid w:val="003B5C0B"/>
    <w:rsid w:val="003B5E20"/>
    <w:rsid w:val="003B62C7"/>
    <w:rsid w:val="003B63E5"/>
    <w:rsid w:val="003B644D"/>
    <w:rsid w:val="003B6578"/>
    <w:rsid w:val="003B687F"/>
    <w:rsid w:val="003B6A42"/>
    <w:rsid w:val="003B6B11"/>
    <w:rsid w:val="003B6EEC"/>
    <w:rsid w:val="003B70FA"/>
    <w:rsid w:val="003B7256"/>
    <w:rsid w:val="003B743B"/>
    <w:rsid w:val="003B7B44"/>
    <w:rsid w:val="003C004C"/>
    <w:rsid w:val="003C0151"/>
    <w:rsid w:val="003C01FA"/>
    <w:rsid w:val="003C02E8"/>
    <w:rsid w:val="003C0402"/>
    <w:rsid w:val="003C0470"/>
    <w:rsid w:val="003C055D"/>
    <w:rsid w:val="003C07EF"/>
    <w:rsid w:val="003C09E3"/>
    <w:rsid w:val="003C0A5E"/>
    <w:rsid w:val="003C0BE1"/>
    <w:rsid w:val="003C0C85"/>
    <w:rsid w:val="003C0CF8"/>
    <w:rsid w:val="003C108A"/>
    <w:rsid w:val="003C15D9"/>
    <w:rsid w:val="003C1725"/>
    <w:rsid w:val="003C18C6"/>
    <w:rsid w:val="003C18F2"/>
    <w:rsid w:val="003C1933"/>
    <w:rsid w:val="003C1A66"/>
    <w:rsid w:val="003C1CF6"/>
    <w:rsid w:val="003C1F34"/>
    <w:rsid w:val="003C22B4"/>
    <w:rsid w:val="003C236B"/>
    <w:rsid w:val="003C25EB"/>
    <w:rsid w:val="003C26A7"/>
    <w:rsid w:val="003C26B0"/>
    <w:rsid w:val="003C26ED"/>
    <w:rsid w:val="003C2A44"/>
    <w:rsid w:val="003C2CC8"/>
    <w:rsid w:val="003C2F39"/>
    <w:rsid w:val="003C3201"/>
    <w:rsid w:val="003C32F2"/>
    <w:rsid w:val="003C33EA"/>
    <w:rsid w:val="003C3430"/>
    <w:rsid w:val="003C3855"/>
    <w:rsid w:val="003C3867"/>
    <w:rsid w:val="003C3941"/>
    <w:rsid w:val="003C398B"/>
    <w:rsid w:val="003C398D"/>
    <w:rsid w:val="003C3B13"/>
    <w:rsid w:val="003C3C59"/>
    <w:rsid w:val="003C3C9A"/>
    <w:rsid w:val="003C3EAD"/>
    <w:rsid w:val="003C3F4B"/>
    <w:rsid w:val="003C3FCC"/>
    <w:rsid w:val="003C4022"/>
    <w:rsid w:val="003C4267"/>
    <w:rsid w:val="003C4344"/>
    <w:rsid w:val="003C4872"/>
    <w:rsid w:val="003C4A33"/>
    <w:rsid w:val="003C4AA4"/>
    <w:rsid w:val="003C4B96"/>
    <w:rsid w:val="003C4C4D"/>
    <w:rsid w:val="003C4F42"/>
    <w:rsid w:val="003C4FE3"/>
    <w:rsid w:val="003C556C"/>
    <w:rsid w:val="003C566E"/>
    <w:rsid w:val="003C57C1"/>
    <w:rsid w:val="003C594B"/>
    <w:rsid w:val="003C5DE4"/>
    <w:rsid w:val="003C5DEC"/>
    <w:rsid w:val="003C6157"/>
    <w:rsid w:val="003C6279"/>
    <w:rsid w:val="003C642F"/>
    <w:rsid w:val="003C656D"/>
    <w:rsid w:val="003C665E"/>
    <w:rsid w:val="003C66B1"/>
    <w:rsid w:val="003C6812"/>
    <w:rsid w:val="003C6DB8"/>
    <w:rsid w:val="003C6DBD"/>
    <w:rsid w:val="003C6F6F"/>
    <w:rsid w:val="003C736E"/>
    <w:rsid w:val="003C7510"/>
    <w:rsid w:val="003C76FC"/>
    <w:rsid w:val="003C794B"/>
    <w:rsid w:val="003C7D00"/>
    <w:rsid w:val="003D0105"/>
    <w:rsid w:val="003D01FB"/>
    <w:rsid w:val="003D0431"/>
    <w:rsid w:val="003D05AB"/>
    <w:rsid w:val="003D062A"/>
    <w:rsid w:val="003D09C1"/>
    <w:rsid w:val="003D0CD3"/>
    <w:rsid w:val="003D1509"/>
    <w:rsid w:val="003D16BB"/>
    <w:rsid w:val="003D1AF6"/>
    <w:rsid w:val="003D1DED"/>
    <w:rsid w:val="003D1DFD"/>
    <w:rsid w:val="003D1E53"/>
    <w:rsid w:val="003D20A8"/>
    <w:rsid w:val="003D2123"/>
    <w:rsid w:val="003D23B8"/>
    <w:rsid w:val="003D249F"/>
    <w:rsid w:val="003D270C"/>
    <w:rsid w:val="003D2716"/>
    <w:rsid w:val="003D27E6"/>
    <w:rsid w:val="003D303C"/>
    <w:rsid w:val="003D3BF8"/>
    <w:rsid w:val="003D3D0E"/>
    <w:rsid w:val="003D3E6D"/>
    <w:rsid w:val="003D4128"/>
    <w:rsid w:val="003D4983"/>
    <w:rsid w:val="003D4B6B"/>
    <w:rsid w:val="003D4E4C"/>
    <w:rsid w:val="003D4F21"/>
    <w:rsid w:val="003D4FDA"/>
    <w:rsid w:val="003D52EC"/>
    <w:rsid w:val="003D5632"/>
    <w:rsid w:val="003D6010"/>
    <w:rsid w:val="003D6096"/>
    <w:rsid w:val="003D65C3"/>
    <w:rsid w:val="003D672B"/>
    <w:rsid w:val="003D6F50"/>
    <w:rsid w:val="003D704D"/>
    <w:rsid w:val="003D70C5"/>
    <w:rsid w:val="003D7267"/>
    <w:rsid w:val="003D728F"/>
    <w:rsid w:val="003D7302"/>
    <w:rsid w:val="003D7415"/>
    <w:rsid w:val="003D7441"/>
    <w:rsid w:val="003D7504"/>
    <w:rsid w:val="003D75A6"/>
    <w:rsid w:val="003D75AA"/>
    <w:rsid w:val="003D77B3"/>
    <w:rsid w:val="003D7BC7"/>
    <w:rsid w:val="003D7BE3"/>
    <w:rsid w:val="003D7C69"/>
    <w:rsid w:val="003D7E80"/>
    <w:rsid w:val="003E01A7"/>
    <w:rsid w:val="003E0239"/>
    <w:rsid w:val="003E02B8"/>
    <w:rsid w:val="003E0446"/>
    <w:rsid w:val="003E0539"/>
    <w:rsid w:val="003E06DA"/>
    <w:rsid w:val="003E0B0E"/>
    <w:rsid w:val="003E0BE1"/>
    <w:rsid w:val="003E0CC2"/>
    <w:rsid w:val="003E0DED"/>
    <w:rsid w:val="003E1049"/>
    <w:rsid w:val="003E10EB"/>
    <w:rsid w:val="003E1281"/>
    <w:rsid w:val="003E158E"/>
    <w:rsid w:val="003E1594"/>
    <w:rsid w:val="003E15A7"/>
    <w:rsid w:val="003E1874"/>
    <w:rsid w:val="003E1AD0"/>
    <w:rsid w:val="003E1C1A"/>
    <w:rsid w:val="003E1C30"/>
    <w:rsid w:val="003E1C60"/>
    <w:rsid w:val="003E1C77"/>
    <w:rsid w:val="003E1D02"/>
    <w:rsid w:val="003E1F07"/>
    <w:rsid w:val="003E20F0"/>
    <w:rsid w:val="003E20F9"/>
    <w:rsid w:val="003E2126"/>
    <w:rsid w:val="003E2692"/>
    <w:rsid w:val="003E27D4"/>
    <w:rsid w:val="003E2A07"/>
    <w:rsid w:val="003E30CF"/>
    <w:rsid w:val="003E316F"/>
    <w:rsid w:val="003E331C"/>
    <w:rsid w:val="003E3323"/>
    <w:rsid w:val="003E3378"/>
    <w:rsid w:val="003E3809"/>
    <w:rsid w:val="003E3B6E"/>
    <w:rsid w:val="003E3DB2"/>
    <w:rsid w:val="003E3E59"/>
    <w:rsid w:val="003E40B8"/>
    <w:rsid w:val="003E40C2"/>
    <w:rsid w:val="003E4124"/>
    <w:rsid w:val="003E41BE"/>
    <w:rsid w:val="003E42A2"/>
    <w:rsid w:val="003E4402"/>
    <w:rsid w:val="003E44D6"/>
    <w:rsid w:val="003E4961"/>
    <w:rsid w:val="003E4CFE"/>
    <w:rsid w:val="003E4D31"/>
    <w:rsid w:val="003E52C8"/>
    <w:rsid w:val="003E5443"/>
    <w:rsid w:val="003E5507"/>
    <w:rsid w:val="003E56B1"/>
    <w:rsid w:val="003E5873"/>
    <w:rsid w:val="003E5A62"/>
    <w:rsid w:val="003E5B24"/>
    <w:rsid w:val="003E624D"/>
    <w:rsid w:val="003E6348"/>
    <w:rsid w:val="003E63C5"/>
    <w:rsid w:val="003E65CB"/>
    <w:rsid w:val="003E687E"/>
    <w:rsid w:val="003E6955"/>
    <w:rsid w:val="003E6970"/>
    <w:rsid w:val="003E6974"/>
    <w:rsid w:val="003E6B28"/>
    <w:rsid w:val="003E6CC1"/>
    <w:rsid w:val="003E6CD7"/>
    <w:rsid w:val="003E6D12"/>
    <w:rsid w:val="003E6E08"/>
    <w:rsid w:val="003E6F2F"/>
    <w:rsid w:val="003E704F"/>
    <w:rsid w:val="003E7684"/>
    <w:rsid w:val="003E7735"/>
    <w:rsid w:val="003E77B1"/>
    <w:rsid w:val="003E78FC"/>
    <w:rsid w:val="003E7BC1"/>
    <w:rsid w:val="003E7E07"/>
    <w:rsid w:val="003E7E55"/>
    <w:rsid w:val="003E7ECB"/>
    <w:rsid w:val="003E7F0C"/>
    <w:rsid w:val="003F00A8"/>
    <w:rsid w:val="003F0130"/>
    <w:rsid w:val="003F0173"/>
    <w:rsid w:val="003F01E5"/>
    <w:rsid w:val="003F02E3"/>
    <w:rsid w:val="003F0834"/>
    <w:rsid w:val="003F09B9"/>
    <w:rsid w:val="003F0C64"/>
    <w:rsid w:val="003F0D3F"/>
    <w:rsid w:val="003F0D83"/>
    <w:rsid w:val="003F0E7A"/>
    <w:rsid w:val="003F0EE0"/>
    <w:rsid w:val="003F0F14"/>
    <w:rsid w:val="003F107A"/>
    <w:rsid w:val="003F1195"/>
    <w:rsid w:val="003F11AD"/>
    <w:rsid w:val="003F1316"/>
    <w:rsid w:val="003F154C"/>
    <w:rsid w:val="003F17B8"/>
    <w:rsid w:val="003F1948"/>
    <w:rsid w:val="003F1A14"/>
    <w:rsid w:val="003F1DB8"/>
    <w:rsid w:val="003F1E68"/>
    <w:rsid w:val="003F1F7F"/>
    <w:rsid w:val="003F2306"/>
    <w:rsid w:val="003F232C"/>
    <w:rsid w:val="003F23D1"/>
    <w:rsid w:val="003F24D1"/>
    <w:rsid w:val="003F28C7"/>
    <w:rsid w:val="003F2A2F"/>
    <w:rsid w:val="003F2AFF"/>
    <w:rsid w:val="003F2E39"/>
    <w:rsid w:val="003F2F03"/>
    <w:rsid w:val="003F30F2"/>
    <w:rsid w:val="003F3125"/>
    <w:rsid w:val="003F3206"/>
    <w:rsid w:val="003F3240"/>
    <w:rsid w:val="003F32A5"/>
    <w:rsid w:val="003F3557"/>
    <w:rsid w:val="003F3598"/>
    <w:rsid w:val="003F3839"/>
    <w:rsid w:val="003F39E2"/>
    <w:rsid w:val="003F3B4F"/>
    <w:rsid w:val="003F3B8B"/>
    <w:rsid w:val="003F3D02"/>
    <w:rsid w:val="003F3DE9"/>
    <w:rsid w:val="003F3FA9"/>
    <w:rsid w:val="003F40E8"/>
    <w:rsid w:val="003F4121"/>
    <w:rsid w:val="003F4249"/>
    <w:rsid w:val="003F4328"/>
    <w:rsid w:val="003F43DC"/>
    <w:rsid w:val="003F446F"/>
    <w:rsid w:val="003F4481"/>
    <w:rsid w:val="003F44D2"/>
    <w:rsid w:val="003F45A6"/>
    <w:rsid w:val="003F46BB"/>
    <w:rsid w:val="003F4711"/>
    <w:rsid w:val="003F4851"/>
    <w:rsid w:val="003F4BB8"/>
    <w:rsid w:val="003F4CAA"/>
    <w:rsid w:val="003F4D7C"/>
    <w:rsid w:val="003F4E37"/>
    <w:rsid w:val="003F5015"/>
    <w:rsid w:val="003F568F"/>
    <w:rsid w:val="003F56F8"/>
    <w:rsid w:val="003F578E"/>
    <w:rsid w:val="003F5DF8"/>
    <w:rsid w:val="003F63AE"/>
    <w:rsid w:val="003F63D6"/>
    <w:rsid w:val="003F65E1"/>
    <w:rsid w:val="003F69CE"/>
    <w:rsid w:val="003F6A12"/>
    <w:rsid w:val="003F6AEC"/>
    <w:rsid w:val="003F6C37"/>
    <w:rsid w:val="003F6C52"/>
    <w:rsid w:val="003F6C95"/>
    <w:rsid w:val="003F6D45"/>
    <w:rsid w:val="003F6D5F"/>
    <w:rsid w:val="003F6D9F"/>
    <w:rsid w:val="003F6DDD"/>
    <w:rsid w:val="003F6E19"/>
    <w:rsid w:val="003F78FC"/>
    <w:rsid w:val="003F7AE4"/>
    <w:rsid w:val="003F7D13"/>
    <w:rsid w:val="003F7DCF"/>
    <w:rsid w:val="003F7E4A"/>
    <w:rsid w:val="003F7ED4"/>
    <w:rsid w:val="003F7F1E"/>
    <w:rsid w:val="003F7FE8"/>
    <w:rsid w:val="0040010B"/>
    <w:rsid w:val="00400221"/>
    <w:rsid w:val="00400440"/>
    <w:rsid w:val="00400720"/>
    <w:rsid w:val="00400C01"/>
    <w:rsid w:val="00400D9C"/>
    <w:rsid w:val="00400E7F"/>
    <w:rsid w:val="00401164"/>
    <w:rsid w:val="00401A4C"/>
    <w:rsid w:val="00401B50"/>
    <w:rsid w:val="00401BB8"/>
    <w:rsid w:val="00401D38"/>
    <w:rsid w:val="00401DF8"/>
    <w:rsid w:val="004022D3"/>
    <w:rsid w:val="004024B2"/>
    <w:rsid w:val="004024FF"/>
    <w:rsid w:val="00402527"/>
    <w:rsid w:val="00402713"/>
    <w:rsid w:val="00402C6F"/>
    <w:rsid w:val="00403543"/>
    <w:rsid w:val="00403A8E"/>
    <w:rsid w:val="00403B1D"/>
    <w:rsid w:val="00403D4F"/>
    <w:rsid w:val="00403EA5"/>
    <w:rsid w:val="00404572"/>
    <w:rsid w:val="004045C7"/>
    <w:rsid w:val="0040461F"/>
    <w:rsid w:val="0040476D"/>
    <w:rsid w:val="00404794"/>
    <w:rsid w:val="004047E5"/>
    <w:rsid w:val="00404A30"/>
    <w:rsid w:val="00404C26"/>
    <w:rsid w:val="00404D65"/>
    <w:rsid w:val="00404E6A"/>
    <w:rsid w:val="00404ED5"/>
    <w:rsid w:val="004051EA"/>
    <w:rsid w:val="0040527A"/>
    <w:rsid w:val="004054A4"/>
    <w:rsid w:val="004054EF"/>
    <w:rsid w:val="00405648"/>
    <w:rsid w:val="00405756"/>
    <w:rsid w:val="004057B7"/>
    <w:rsid w:val="004058DE"/>
    <w:rsid w:val="004059C7"/>
    <w:rsid w:val="00405D35"/>
    <w:rsid w:val="00405DCB"/>
    <w:rsid w:val="00405E62"/>
    <w:rsid w:val="004060A8"/>
    <w:rsid w:val="004066B6"/>
    <w:rsid w:val="00406A67"/>
    <w:rsid w:val="00406AC3"/>
    <w:rsid w:val="00406D75"/>
    <w:rsid w:val="00406DFF"/>
    <w:rsid w:val="004070BD"/>
    <w:rsid w:val="00407210"/>
    <w:rsid w:val="00407749"/>
    <w:rsid w:val="004077CE"/>
    <w:rsid w:val="004079BF"/>
    <w:rsid w:val="00407B27"/>
    <w:rsid w:val="00407BAC"/>
    <w:rsid w:val="00407C31"/>
    <w:rsid w:val="00407C37"/>
    <w:rsid w:val="00407E18"/>
    <w:rsid w:val="00410116"/>
    <w:rsid w:val="0041074A"/>
    <w:rsid w:val="004108E7"/>
    <w:rsid w:val="00410C0C"/>
    <w:rsid w:val="00410C0F"/>
    <w:rsid w:val="00410D83"/>
    <w:rsid w:val="00410F36"/>
    <w:rsid w:val="00411202"/>
    <w:rsid w:val="00411260"/>
    <w:rsid w:val="004114F1"/>
    <w:rsid w:val="004115CB"/>
    <w:rsid w:val="004116F9"/>
    <w:rsid w:val="00411BBB"/>
    <w:rsid w:val="00411D51"/>
    <w:rsid w:val="00411D5A"/>
    <w:rsid w:val="00411E51"/>
    <w:rsid w:val="00411FB4"/>
    <w:rsid w:val="00412280"/>
    <w:rsid w:val="00412348"/>
    <w:rsid w:val="0041238E"/>
    <w:rsid w:val="004124D7"/>
    <w:rsid w:val="004125AC"/>
    <w:rsid w:val="00412622"/>
    <w:rsid w:val="00412629"/>
    <w:rsid w:val="0041271F"/>
    <w:rsid w:val="00412A75"/>
    <w:rsid w:val="00412C39"/>
    <w:rsid w:val="00412DE9"/>
    <w:rsid w:val="00412E3E"/>
    <w:rsid w:val="00412EB8"/>
    <w:rsid w:val="00412F52"/>
    <w:rsid w:val="00413000"/>
    <w:rsid w:val="0041307C"/>
    <w:rsid w:val="004130EA"/>
    <w:rsid w:val="00413112"/>
    <w:rsid w:val="004131E9"/>
    <w:rsid w:val="004133E8"/>
    <w:rsid w:val="0041341C"/>
    <w:rsid w:val="0041356A"/>
    <w:rsid w:val="00413690"/>
    <w:rsid w:val="004136F8"/>
    <w:rsid w:val="00413B40"/>
    <w:rsid w:val="00413DE0"/>
    <w:rsid w:val="00413E27"/>
    <w:rsid w:val="00414017"/>
    <w:rsid w:val="004142E7"/>
    <w:rsid w:val="0041448C"/>
    <w:rsid w:val="00414495"/>
    <w:rsid w:val="0041485F"/>
    <w:rsid w:val="00414D1F"/>
    <w:rsid w:val="00414D69"/>
    <w:rsid w:val="00414E0D"/>
    <w:rsid w:val="00414E69"/>
    <w:rsid w:val="00414EDD"/>
    <w:rsid w:val="00414F22"/>
    <w:rsid w:val="00415005"/>
    <w:rsid w:val="00415374"/>
    <w:rsid w:val="004154AF"/>
    <w:rsid w:val="004156B0"/>
    <w:rsid w:val="00415704"/>
    <w:rsid w:val="004157F1"/>
    <w:rsid w:val="00415974"/>
    <w:rsid w:val="00415A5F"/>
    <w:rsid w:val="00415D76"/>
    <w:rsid w:val="00415F57"/>
    <w:rsid w:val="004162E1"/>
    <w:rsid w:val="0041634E"/>
    <w:rsid w:val="00416423"/>
    <w:rsid w:val="004164A8"/>
    <w:rsid w:val="00416867"/>
    <w:rsid w:val="00416873"/>
    <w:rsid w:val="00416907"/>
    <w:rsid w:val="00416913"/>
    <w:rsid w:val="00416A73"/>
    <w:rsid w:val="00416B90"/>
    <w:rsid w:val="00416C57"/>
    <w:rsid w:val="0041701F"/>
    <w:rsid w:val="004170BE"/>
    <w:rsid w:val="0041721B"/>
    <w:rsid w:val="0041727D"/>
    <w:rsid w:val="00417394"/>
    <w:rsid w:val="00417421"/>
    <w:rsid w:val="00417657"/>
    <w:rsid w:val="0041783F"/>
    <w:rsid w:val="00417A15"/>
    <w:rsid w:val="00417B34"/>
    <w:rsid w:val="00417BB1"/>
    <w:rsid w:val="00417F5B"/>
    <w:rsid w:val="00420025"/>
    <w:rsid w:val="0042004C"/>
    <w:rsid w:val="00420224"/>
    <w:rsid w:val="00420494"/>
    <w:rsid w:val="0042061C"/>
    <w:rsid w:val="004211FE"/>
    <w:rsid w:val="00421212"/>
    <w:rsid w:val="00421281"/>
    <w:rsid w:val="00421765"/>
    <w:rsid w:val="00421954"/>
    <w:rsid w:val="00421B29"/>
    <w:rsid w:val="0042202C"/>
    <w:rsid w:val="00422176"/>
    <w:rsid w:val="00422279"/>
    <w:rsid w:val="004222A6"/>
    <w:rsid w:val="0042239D"/>
    <w:rsid w:val="00422663"/>
    <w:rsid w:val="0042273A"/>
    <w:rsid w:val="00422F0C"/>
    <w:rsid w:val="00422F68"/>
    <w:rsid w:val="00422F70"/>
    <w:rsid w:val="004231BD"/>
    <w:rsid w:val="004231CF"/>
    <w:rsid w:val="00423373"/>
    <w:rsid w:val="0042343A"/>
    <w:rsid w:val="004235B5"/>
    <w:rsid w:val="004239FB"/>
    <w:rsid w:val="00423A83"/>
    <w:rsid w:val="00423B4F"/>
    <w:rsid w:val="00423BDF"/>
    <w:rsid w:val="00423BFF"/>
    <w:rsid w:val="00423FDC"/>
    <w:rsid w:val="0042415D"/>
    <w:rsid w:val="004241F1"/>
    <w:rsid w:val="0042442C"/>
    <w:rsid w:val="0042474E"/>
    <w:rsid w:val="00424806"/>
    <w:rsid w:val="0042481E"/>
    <w:rsid w:val="00424B98"/>
    <w:rsid w:val="00424CEF"/>
    <w:rsid w:val="0042506E"/>
    <w:rsid w:val="0042508C"/>
    <w:rsid w:val="00425324"/>
    <w:rsid w:val="0042538B"/>
    <w:rsid w:val="004255E2"/>
    <w:rsid w:val="0042570E"/>
    <w:rsid w:val="0042573A"/>
    <w:rsid w:val="00425943"/>
    <w:rsid w:val="00425BA7"/>
    <w:rsid w:val="00425CE7"/>
    <w:rsid w:val="00425D7D"/>
    <w:rsid w:val="00425F28"/>
    <w:rsid w:val="0042614C"/>
    <w:rsid w:val="00426535"/>
    <w:rsid w:val="004265AA"/>
    <w:rsid w:val="00426713"/>
    <w:rsid w:val="00426850"/>
    <w:rsid w:val="00426B2E"/>
    <w:rsid w:val="00426B5D"/>
    <w:rsid w:val="00426F1F"/>
    <w:rsid w:val="004270E1"/>
    <w:rsid w:val="00427121"/>
    <w:rsid w:val="00427198"/>
    <w:rsid w:val="00427680"/>
    <w:rsid w:val="004276D2"/>
    <w:rsid w:val="0042776C"/>
    <w:rsid w:val="00427777"/>
    <w:rsid w:val="00427909"/>
    <w:rsid w:val="00427995"/>
    <w:rsid w:val="004279A0"/>
    <w:rsid w:val="00427AD2"/>
    <w:rsid w:val="00427F0D"/>
    <w:rsid w:val="00427FC8"/>
    <w:rsid w:val="00430170"/>
    <w:rsid w:val="00430262"/>
    <w:rsid w:val="0043031D"/>
    <w:rsid w:val="0043037C"/>
    <w:rsid w:val="004303E4"/>
    <w:rsid w:val="00430616"/>
    <w:rsid w:val="00430637"/>
    <w:rsid w:val="00430757"/>
    <w:rsid w:val="00430B1A"/>
    <w:rsid w:val="00430F3E"/>
    <w:rsid w:val="0043117B"/>
    <w:rsid w:val="0043129A"/>
    <w:rsid w:val="00431481"/>
    <w:rsid w:val="004315D0"/>
    <w:rsid w:val="004317FE"/>
    <w:rsid w:val="00431877"/>
    <w:rsid w:val="00431997"/>
    <w:rsid w:val="00431A03"/>
    <w:rsid w:val="00431AE6"/>
    <w:rsid w:val="00431C76"/>
    <w:rsid w:val="00431D69"/>
    <w:rsid w:val="00431E65"/>
    <w:rsid w:val="00431EB2"/>
    <w:rsid w:val="0043221F"/>
    <w:rsid w:val="0043229C"/>
    <w:rsid w:val="004322B7"/>
    <w:rsid w:val="004323F4"/>
    <w:rsid w:val="0043269D"/>
    <w:rsid w:val="0043281E"/>
    <w:rsid w:val="00432AA8"/>
    <w:rsid w:val="00432D51"/>
    <w:rsid w:val="00432DAD"/>
    <w:rsid w:val="00432E4A"/>
    <w:rsid w:val="004330C2"/>
    <w:rsid w:val="004332CA"/>
    <w:rsid w:val="004332D0"/>
    <w:rsid w:val="004334A8"/>
    <w:rsid w:val="00433765"/>
    <w:rsid w:val="0043388E"/>
    <w:rsid w:val="00433C09"/>
    <w:rsid w:val="00433F47"/>
    <w:rsid w:val="004340E4"/>
    <w:rsid w:val="0043435B"/>
    <w:rsid w:val="004343F3"/>
    <w:rsid w:val="0043492C"/>
    <w:rsid w:val="00434B45"/>
    <w:rsid w:val="00434B84"/>
    <w:rsid w:val="00434C36"/>
    <w:rsid w:val="00434C37"/>
    <w:rsid w:val="00434D11"/>
    <w:rsid w:val="00434D1A"/>
    <w:rsid w:val="00434F3A"/>
    <w:rsid w:val="00434F77"/>
    <w:rsid w:val="004351EE"/>
    <w:rsid w:val="0043533D"/>
    <w:rsid w:val="0043545C"/>
    <w:rsid w:val="00435875"/>
    <w:rsid w:val="00435DC9"/>
    <w:rsid w:val="00435E50"/>
    <w:rsid w:val="00436011"/>
    <w:rsid w:val="00436118"/>
    <w:rsid w:val="00436250"/>
    <w:rsid w:val="0043634F"/>
    <w:rsid w:val="004363A5"/>
    <w:rsid w:val="004363CB"/>
    <w:rsid w:val="00436531"/>
    <w:rsid w:val="0043657F"/>
    <w:rsid w:val="004367C4"/>
    <w:rsid w:val="00436B13"/>
    <w:rsid w:val="00436C31"/>
    <w:rsid w:val="00436CBF"/>
    <w:rsid w:val="00436E27"/>
    <w:rsid w:val="00436F7A"/>
    <w:rsid w:val="00436FBC"/>
    <w:rsid w:val="0043707E"/>
    <w:rsid w:val="00437108"/>
    <w:rsid w:val="0043720A"/>
    <w:rsid w:val="00437216"/>
    <w:rsid w:val="00437255"/>
    <w:rsid w:val="0043729E"/>
    <w:rsid w:val="0043734A"/>
    <w:rsid w:val="00437560"/>
    <w:rsid w:val="004375F3"/>
    <w:rsid w:val="00437676"/>
    <w:rsid w:val="00437A1F"/>
    <w:rsid w:val="00437CB3"/>
    <w:rsid w:val="00437E31"/>
    <w:rsid w:val="0044002B"/>
    <w:rsid w:val="00440090"/>
    <w:rsid w:val="004400CC"/>
    <w:rsid w:val="004402A4"/>
    <w:rsid w:val="004402B3"/>
    <w:rsid w:val="00440384"/>
    <w:rsid w:val="004407C5"/>
    <w:rsid w:val="004407F7"/>
    <w:rsid w:val="00440889"/>
    <w:rsid w:val="004409E6"/>
    <w:rsid w:val="00440B1B"/>
    <w:rsid w:val="00440BBD"/>
    <w:rsid w:val="00440BF1"/>
    <w:rsid w:val="00440C6D"/>
    <w:rsid w:val="00440CB0"/>
    <w:rsid w:val="004415BA"/>
    <w:rsid w:val="00441738"/>
    <w:rsid w:val="00441764"/>
    <w:rsid w:val="0044196F"/>
    <w:rsid w:val="004419A2"/>
    <w:rsid w:val="00441B33"/>
    <w:rsid w:val="00441DC5"/>
    <w:rsid w:val="004421D4"/>
    <w:rsid w:val="00442406"/>
    <w:rsid w:val="004424A7"/>
    <w:rsid w:val="00442DAD"/>
    <w:rsid w:val="00442E2B"/>
    <w:rsid w:val="00442E39"/>
    <w:rsid w:val="00442EBC"/>
    <w:rsid w:val="00442EFB"/>
    <w:rsid w:val="00443292"/>
    <w:rsid w:val="00443517"/>
    <w:rsid w:val="00443A08"/>
    <w:rsid w:val="00443AA6"/>
    <w:rsid w:val="00443B66"/>
    <w:rsid w:val="00443D31"/>
    <w:rsid w:val="0044413F"/>
    <w:rsid w:val="00444663"/>
    <w:rsid w:val="004446B9"/>
    <w:rsid w:val="004448B1"/>
    <w:rsid w:val="00444B87"/>
    <w:rsid w:val="00445027"/>
    <w:rsid w:val="0044561F"/>
    <w:rsid w:val="004459A7"/>
    <w:rsid w:val="00445A60"/>
    <w:rsid w:val="00445AED"/>
    <w:rsid w:val="004460FF"/>
    <w:rsid w:val="00446154"/>
    <w:rsid w:val="004461A7"/>
    <w:rsid w:val="00446260"/>
    <w:rsid w:val="00446428"/>
    <w:rsid w:val="00446438"/>
    <w:rsid w:val="00446770"/>
    <w:rsid w:val="00446784"/>
    <w:rsid w:val="004467F1"/>
    <w:rsid w:val="00446C29"/>
    <w:rsid w:val="00446CE4"/>
    <w:rsid w:val="00446DC0"/>
    <w:rsid w:val="00446F14"/>
    <w:rsid w:val="0044704B"/>
    <w:rsid w:val="00447334"/>
    <w:rsid w:val="004473E3"/>
    <w:rsid w:val="004474D3"/>
    <w:rsid w:val="004476A0"/>
    <w:rsid w:val="004477A3"/>
    <w:rsid w:val="004478F5"/>
    <w:rsid w:val="00447A55"/>
    <w:rsid w:val="00447CBD"/>
    <w:rsid w:val="00447CF3"/>
    <w:rsid w:val="00447E57"/>
    <w:rsid w:val="00447ECA"/>
    <w:rsid w:val="004500B0"/>
    <w:rsid w:val="00450634"/>
    <w:rsid w:val="004509CC"/>
    <w:rsid w:val="00450C8B"/>
    <w:rsid w:val="00450CF4"/>
    <w:rsid w:val="00450F31"/>
    <w:rsid w:val="00451168"/>
    <w:rsid w:val="0045159B"/>
    <w:rsid w:val="004515D0"/>
    <w:rsid w:val="00451A92"/>
    <w:rsid w:val="00451F96"/>
    <w:rsid w:val="00452444"/>
    <w:rsid w:val="00452AE9"/>
    <w:rsid w:val="00452FA2"/>
    <w:rsid w:val="0045335E"/>
    <w:rsid w:val="0045338F"/>
    <w:rsid w:val="0045383B"/>
    <w:rsid w:val="00453883"/>
    <w:rsid w:val="00453A46"/>
    <w:rsid w:val="00453A4E"/>
    <w:rsid w:val="00453DD8"/>
    <w:rsid w:val="00454153"/>
    <w:rsid w:val="004542ED"/>
    <w:rsid w:val="00454374"/>
    <w:rsid w:val="004543C2"/>
    <w:rsid w:val="00454550"/>
    <w:rsid w:val="004546DE"/>
    <w:rsid w:val="004547A9"/>
    <w:rsid w:val="00454D04"/>
    <w:rsid w:val="00454D36"/>
    <w:rsid w:val="00454E0C"/>
    <w:rsid w:val="00454E80"/>
    <w:rsid w:val="004550B1"/>
    <w:rsid w:val="00455246"/>
    <w:rsid w:val="004555F5"/>
    <w:rsid w:val="004556D4"/>
    <w:rsid w:val="00455714"/>
    <w:rsid w:val="00455791"/>
    <w:rsid w:val="004558E9"/>
    <w:rsid w:val="0045590B"/>
    <w:rsid w:val="00455BE1"/>
    <w:rsid w:val="00455C77"/>
    <w:rsid w:val="00455C7B"/>
    <w:rsid w:val="00455D7A"/>
    <w:rsid w:val="00455DDA"/>
    <w:rsid w:val="00455EA7"/>
    <w:rsid w:val="0045605E"/>
    <w:rsid w:val="00456233"/>
    <w:rsid w:val="0045644A"/>
    <w:rsid w:val="00456573"/>
    <w:rsid w:val="00456697"/>
    <w:rsid w:val="004566D2"/>
    <w:rsid w:val="00456CEA"/>
    <w:rsid w:val="00456F25"/>
    <w:rsid w:val="00456F6D"/>
    <w:rsid w:val="0045701C"/>
    <w:rsid w:val="00457033"/>
    <w:rsid w:val="00457676"/>
    <w:rsid w:val="004576AB"/>
    <w:rsid w:val="004577CB"/>
    <w:rsid w:val="0045785C"/>
    <w:rsid w:val="00457D09"/>
    <w:rsid w:val="00457D31"/>
    <w:rsid w:val="00457D3B"/>
    <w:rsid w:val="004600AF"/>
    <w:rsid w:val="0046011A"/>
    <w:rsid w:val="0046013E"/>
    <w:rsid w:val="00460251"/>
    <w:rsid w:val="00460306"/>
    <w:rsid w:val="004605D8"/>
    <w:rsid w:val="00460690"/>
    <w:rsid w:val="004606AC"/>
    <w:rsid w:val="00460776"/>
    <w:rsid w:val="00460B2A"/>
    <w:rsid w:val="00460B5E"/>
    <w:rsid w:val="00460D3D"/>
    <w:rsid w:val="00460D74"/>
    <w:rsid w:val="00460FE2"/>
    <w:rsid w:val="0046105D"/>
    <w:rsid w:val="004610EF"/>
    <w:rsid w:val="0046115D"/>
    <w:rsid w:val="0046133F"/>
    <w:rsid w:val="004614AD"/>
    <w:rsid w:val="004615AE"/>
    <w:rsid w:val="00461611"/>
    <w:rsid w:val="004618AB"/>
    <w:rsid w:val="00461A3E"/>
    <w:rsid w:val="00461EED"/>
    <w:rsid w:val="00462408"/>
    <w:rsid w:val="004625E7"/>
    <w:rsid w:val="004626E2"/>
    <w:rsid w:val="00462761"/>
    <w:rsid w:val="004627F4"/>
    <w:rsid w:val="00462982"/>
    <w:rsid w:val="00462A28"/>
    <w:rsid w:val="00462BBF"/>
    <w:rsid w:val="00462DC3"/>
    <w:rsid w:val="00462F8C"/>
    <w:rsid w:val="00463019"/>
    <w:rsid w:val="004633D0"/>
    <w:rsid w:val="00463461"/>
    <w:rsid w:val="0046364F"/>
    <w:rsid w:val="00463743"/>
    <w:rsid w:val="004637AA"/>
    <w:rsid w:val="004637FC"/>
    <w:rsid w:val="004638DC"/>
    <w:rsid w:val="00463949"/>
    <w:rsid w:val="00463985"/>
    <w:rsid w:val="00463EB4"/>
    <w:rsid w:val="00463EC5"/>
    <w:rsid w:val="00463ED2"/>
    <w:rsid w:val="00463F57"/>
    <w:rsid w:val="004640C1"/>
    <w:rsid w:val="00464117"/>
    <w:rsid w:val="00464229"/>
    <w:rsid w:val="004642E5"/>
    <w:rsid w:val="004643AE"/>
    <w:rsid w:val="00464420"/>
    <w:rsid w:val="0046457E"/>
    <w:rsid w:val="00464A31"/>
    <w:rsid w:val="00464A3F"/>
    <w:rsid w:val="00464AD1"/>
    <w:rsid w:val="00464B1D"/>
    <w:rsid w:val="004658B4"/>
    <w:rsid w:val="00465A10"/>
    <w:rsid w:val="00465BBA"/>
    <w:rsid w:val="00465D23"/>
    <w:rsid w:val="00465E22"/>
    <w:rsid w:val="00465E6D"/>
    <w:rsid w:val="0046622D"/>
    <w:rsid w:val="00466573"/>
    <w:rsid w:val="004665AB"/>
    <w:rsid w:val="00466853"/>
    <w:rsid w:val="00467105"/>
    <w:rsid w:val="004672E3"/>
    <w:rsid w:val="004678E5"/>
    <w:rsid w:val="0046799A"/>
    <w:rsid w:val="00467B9D"/>
    <w:rsid w:val="00467D21"/>
    <w:rsid w:val="004700B0"/>
    <w:rsid w:val="00470259"/>
    <w:rsid w:val="00470467"/>
    <w:rsid w:val="004705CE"/>
    <w:rsid w:val="0047093C"/>
    <w:rsid w:val="00470E7D"/>
    <w:rsid w:val="00471044"/>
    <w:rsid w:val="004710A6"/>
    <w:rsid w:val="00471188"/>
    <w:rsid w:val="004713AB"/>
    <w:rsid w:val="0047141B"/>
    <w:rsid w:val="00471775"/>
    <w:rsid w:val="00471922"/>
    <w:rsid w:val="00471ACB"/>
    <w:rsid w:val="00471C16"/>
    <w:rsid w:val="00471C60"/>
    <w:rsid w:val="00471E21"/>
    <w:rsid w:val="00472099"/>
    <w:rsid w:val="004720BE"/>
    <w:rsid w:val="0047219A"/>
    <w:rsid w:val="00472353"/>
    <w:rsid w:val="0047264F"/>
    <w:rsid w:val="004726CE"/>
    <w:rsid w:val="004726DD"/>
    <w:rsid w:val="00472784"/>
    <w:rsid w:val="0047282E"/>
    <w:rsid w:val="004729D5"/>
    <w:rsid w:val="00472AD5"/>
    <w:rsid w:val="00472EC2"/>
    <w:rsid w:val="0047309B"/>
    <w:rsid w:val="0047353D"/>
    <w:rsid w:val="00473627"/>
    <w:rsid w:val="004736D9"/>
    <w:rsid w:val="004736F9"/>
    <w:rsid w:val="00473777"/>
    <w:rsid w:val="0047384B"/>
    <w:rsid w:val="00473939"/>
    <w:rsid w:val="00473AF2"/>
    <w:rsid w:val="00473B97"/>
    <w:rsid w:val="00473D7F"/>
    <w:rsid w:val="00474132"/>
    <w:rsid w:val="0047420C"/>
    <w:rsid w:val="0047429D"/>
    <w:rsid w:val="00474367"/>
    <w:rsid w:val="004743DF"/>
    <w:rsid w:val="004744AD"/>
    <w:rsid w:val="00474707"/>
    <w:rsid w:val="004747CD"/>
    <w:rsid w:val="00474C92"/>
    <w:rsid w:val="00474CA3"/>
    <w:rsid w:val="00474CDE"/>
    <w:rsid w:val="004750A1"/>
    <w:rsid w:val="004750BF"/>
    <w:rsid w:val="004751F2"/>
    <w:rsid w:val="00475332"/>
    <w:rsid w:val="004753ED"/>
    <w:rsid w:val="004754D3"/>
    <w:rsid w:val="004755C8"/>
    <w:rsid w:val="004757A4"/>
    <w:rsid w:val="0047598B"/>
    <w:rsid w:val="004759BC"/>
    <w:rsid w:val="00475A39"/>
    <w:rsid w:val="00475BA4"/>
    <w:rsid w:val="00475CD9"/>
    <w:rsid w:val="00475E66"/>
    <w:rsid w:val="00475EAA"/>
    <w:rsid w:val="00475F97"/>
    <w:rsid w:val="00476421"/>
    <w:rsid w:val="0047642C"/>
    <w:rsid w:val="0047654B"/>
    <w:rsid w:val="004768E5"/>
    <w:rsid w:val="0047690D"/>
    <w:rsid w:val="00476976"/>
    <w:rsid w:val="00476B97"/>
    <w:rsid w:val="00476C2B"/>
    <w:rsid w:val="0047773D"/>
    <w:rsid w:val="004778BC"/>
    <w:rsid w:val="00477982"/>
    <w:rsid w:val="004779E1"/>
    <w:rsid w:val="00477B44"/>
    <w:rsid w:val="00477C41"/>
    <w:rsid w:val="00477E11"/>
    <w:rsid w:val="00477EFB"/>
    <w:rsid w:val="00477F42"/>
    <w:rsid w:val="00480078"/>
    <w:rsid w:val="00480139"/>
    <w:rsid w:val="0048013D"/>
    <w:rsid w:val="004801E5"/>
    <w:rsid w:val="00480248"/>
    <w:rsid w:val="00480376"/>
    <w:rsid w:val="0048039E"/>
    <w:rsid w:val="0048056E"/>
    <w:rsid w:val="00480620"/>
    <w:rsid w:val="004806F7"/>
    <w:rsid w:val="00480870"/>
    <w:rsid w:val="004809A0"/>
    <w:rsid w:val="00480BE9"/>
    <w:rsid w:val="0048144E"/>
    <w:rsid w:val="00481814"/>
    <w:rsid w:val="00481C79"/>
    <w:rsid w:val="00481CC2"/>
    <w:rsid w:val="00481DFD"/>
    <w:rsid w:val="00481E47"/>
    <w:rsid w:val="00481E4D"/>
    <w:rsid w:val="0048205E"/>
    <w:rsid w:val="00482124"/>
    <w:rsid w:val="004821F8"/>
    <w:rsid w:val="004822EE"/>
    <w:rsid w:val="004823D9"/>
    <w:rsid w:val="004827D4"/>
    <w:rsid w:val="00482825"/>
    <w:rsid w:val="004829F2"/>
    <w:rsid w:val="00482BDC"/>
    <w:rsid w:val="00482DBB"/>
    <w:rsid w:val="0048308B"/>
    <w:rsid w:val="00483118"/>
    <w:rsid w:val="004831A8"/>
    <w:rsid w:val="004831B6"/>
    <w:rsid w:val="004833FD"/>
    <w:rsid w:val="00483483"/>
    <w:rsid w:val="004834C7"/>
    <w:rsid w:val="00483558"/>
    <w:rsid w:val="00483724"/>
    <w:rsid w:val="00483A28"/>
    <w:rsid w:val="00483AFD"/>
    <w:rsid w:val="00483D1A"/>
    <w:rsid w:val="00483E3F"/>
    <w:rsid w:val="00483EE3"/>
    <w:rsid w:val="00483FDB"/>
    <w:rsid w:val="0048402C"/>
    <w:rsid w:val="0048407D"/>
    <w:rsid w:val="004841A3"/>
    <w:rsid w:val="00484537"/>
    <w:rsid w:val="004846CF"/>
    <w:rsid w:val="00484803"/>
    <w:rsid w:val="0048484A"/>
    <w:rsid w:val="004848BA"/>
    <w:rsid w:val="00484912"/>
    <w:rsid w:val="00484963"/>
    <w:rsid w:val="004849F9"/>
    <w:rsid w:val="00484B1D"/>
    <w:rsid w:val="00484B26"/>
    <w:rsid w:val="00484B56"/>
    <w:rsid w:val="00484F3B"/>
    <w:rsid w:val="004852D9"/>
    <w:rsid w:val="004853F4"/>
    <w:rsid w:val="00485732"/>
    <w:rsid w:val="0048598E"/>
    <w:rsid w:val="00485BA8"/>
    <w:rsid w:val="00485C10"/>
    <w:rsid w:val="00485C45"/>
    <w:rsid w:val="00485C67"/>
    <w:rsid w:val="00485CB4"/>
    <w:rsid w:val="00485F00"/>
    <w:rsid w:val="00486043"/>
    <w:rsid w:val="00486088"/>
    <w:rsid w:val="0048629D"/>
    <w:rsid w:val="00486381"/>
    <w:rsid w:val="004864C4"/>
    <w:rsid w:val="00486666"/>
    <w:rsid w:val="004869D5"/>
    <w:rsid w:val="00486D76"/>
    <w:rsid w:val="00486EDF"/>
    <w:rsid w:val="00486F45"/>
    <w:rsid w:val="00487140"/>
    <w:rsid w:val="004871D7"/>
    <w:rsid w:val="0048735C"/>
    <w:rsid w:val="0048754C"/>
    <w:rsid w:val="004875FB"/>
    <w:rsid w:val="00487944"/>
    <w:rsid w:val="004879F0"/>
    <w:rsid w:val="00487A72"/>
    <w:rsid w:val="00487A9F"/>
    <w:rsid w:val="00487C39"/>
    <w:rsid w:val="00487CD7"/>
    <w:rsid w:val="00487D1C"/>
    <w:rsid w:val="00487D76"/>
    <w:rsid w:val="00487DE2"/>
    <w:rsid w:val="00487FEC"/>
    <w:rsid w:val="004900A4"/>
    <w:rsid w:val="0049010F"/>
    <w:rsid w:val="00490189"/>
    <w:rsid w:val="00490273"/>
    <w:rsid w:val="00490525"/>
    <w:rsid w:val="0049055D"/>
    <w:rsid w:val="0049078F"/>
    <w:rsid w:val="004909C3"/>
    <w:rsid w:val="00490BF1"/>
    <w:rsid w:val="00490C1F"/>
    <w:rsid w:val="00490CA4"/>
    <w:rsid w:val="00490E07"/>
    <w:rsid w:val="00490EF7"/>
    <w:rsid w:val="0049102C"/>
    <w:rsid w:val="00491089"/>
    <w:rsid w:val="004914E0"/>
    <w:rsid w:val="004916CC"/>
    <w:rsid w:val="00491891"/>
    <w:rsid w:val="00491C30"/>
    <w:rsid w:val="00491D2E"/>
    <w:rsid w:val="00491F0A"/>
    <w:rsid w:val="0049211A"/>
    <w:rsid w:val="004922D3"/>
    <w:rsid w:val="0049230E"/>
    <w:rsid w:val="00492352"/>
    <w:rsid w:val="0049237D"/>
    <w:rsid w:val="004924DB"/>
    <w:rsid w:val="0049253A"/>
    <w:rsid w:val="004925AB"/>
    <w:rsid w:val="0049276C"/>
    <w:rsid w:val="00492928"/>
    <w:rsid w:val="00492B1D"/>
    <w:rsid w:val="00492C25"/>
    <w:rsid w:val="00492D9E"/>
    <w:rsid w:val="00492EC1"/>
    <w:rsid w:val="0049321B"/>
    <w:rsid w:val="00493406"/>
    <w:rsid w:val="00493453"/>
    <w:rsid w:val="00493578"/>
    <w:rsid w:val="00493662"/>
    <w:rsid w:val="00493743"/>
    <w:rsid w:val="004937A1"/>
    <w:rsid w:val="004938B9"/>
    <w:rsid w:val="004938C8"/>
    <w:rsid w:val="00493953"/>
    <w:rsid w:val="00493A18"/>
    <w:rsid w:val="00493B23"/>
    <w:rsid w:val="00493B50"/>
    <w:rsid w:val="00493B90"/>
    <w:rsid w:val="00493C03"/>
    <w:rsid w:val="00493E29"/>
    <w:rsid w:val="00493E61"/>
    <w:rsid w:val="00494142"/>
    <w:rsid w:val="00494414"/>
    <w:rsid w:val="00494538"/>
    <w:rsid w:val="00494586"/>
    <w:rsid w:val="004945C9"/>
    <w:rsid w:val="004946E3"/>
    <w:rsid w:val="004948BF"/>
    <w:rsid w:val="00494A41"/>
    <w:rsid w:val="00494B2F"/>
    <w:rsid w:val="00494C3E"/>
    <w:rsid w:val="00494D08"/>
    <w:rsid w:val="00494F47"/>
    <w:rsid w:val="00494F8B"/>
    <w:rsid w:val="004950CF"/>
    <w:rsid w:val="004951D4"/>
    <w:rsid w:val="004953A6"/>
    <w:rsid w:val="0049549C"/>
    <w:rsid w:val="0049566C"/>
    <w:rsid w:val="0049574B"/>
    <w:rsid w:val="00495753"/>
    <w:rsid w:val="00495A62"/>
    <w:rsid w:val="00495E0A"/>
    <w:rsid w:val="0049605F"/>
    <w:rsid w:val="004962FD"/>
    <w:rsid w:val="004965D0"/>
    <w:rsid w:val="0049681E"/>
    <w:rsid w:val="00496B15"/>
    <w:rsid w:val="00496B70"/>
    <w:rsid w:val="00496EA1"/>
    <w:rsid w:val="00496F50"/>
    <w:rsid w:val="00496F53"/>
    <w:rsid w:val="00497081"/>
    <w:rsid w:val="004972F0"/>
    <w:rsid w:val="0049734B"/>
    <w:rsid w:val="00497452"/>
    <w:rsid w:val="00497526"/>
    <w:rsid w:val="00497527"/>
    <w:rsid w:val="004975F2"/>
    <w:rsid w:val="00497D39"/>
    <w:rsid w:val="004A010D"/>
    <w:rsid w:val="004A0AFB"/>
    <w:rsid w:val="004A0E9E"/>
    <w:rsid w:val="004A11C1"/>
    <w:rsid w:val="004A160D"/>
    <w:rsid w:val="004A1638"/>
    <w:rsid w:val="004A16E1"/>
    <w:rsid w:val="004A1867"/>
    <w:rsid w:val="004A1A94"/>
    <w:rsid w:val="004A1B33"/>
    <w:rsid w:val="004A1B5D"/>
    <w:rsid w:val="004A1E29"/>
    <w:rsid w:val="004A1F30"/>
    <w:rsid w:val="004A1FFE"/>
    <w:rsid w:val="004A2272"/>
    <w:rsid w:val="004A2588"/>
    <w:rsid w:val="004A25C4"/>
    <w:rsid w:val="004A285F"/>
    <w:rsid w:val="004A2867"/>
    <w:rsid w:val="004A291F"/>
    <w:rsid w:val="004A2A65"/>
    <w:rsid w:val="004A2A74"/>
    <w:rsid w:val="004A2DF3"/>
    <w:rsid w:val="004A2E68"/>
    <w:rsid w:val="004A2F89"/>
    <w:rsid w:val="004A303B"/>
    <w:rsid w:val="004A315C"/>
    <w:rsid w:val="004A33CC"/>
    <w:rsid w:val="004A3644"/>
    <w:rsid w:val="004A3897"/>
    <w:rsid w:val="004A38A9"/>
    <w:rsid w:val="004A3B9C"/>
    <w:rsid w:val="004A3BA4"/>
    <w:rsid w:val="004A3C06"/>
    <w:rsid w:val="004A3C7C"/>
    <w:rsid w:val="004A3D9F"/>
    <w:rsid w:val="004A3DF7"/>
    <w:rsid w:val="004A3F8C"/>
    <w:rsid w:val="004A42E6"/>
    <w:rsid w:val="004A4410"/>
    <w:rsid w:val="004A4489"/>
    <w:rsid w:val="004A4516"/>
    <w:rsid w:val="004A46B6"/>
    <w:rsid w:val="004A486D"/>
    <w:rsid w:val="004A488D"/>
    <w:rsid w:val="004A4BDD"/>
    <w:rsid w:val="004A4CA3"/>
    <w:rsid w:val="004A4D76"/>
    <w:rsid w:val="004A4D8D"/>
    <w:rsid w:val="004A5084"/>
    <w:rsid w:val="004A5466"/>
    <w:rsid w:val="004A54C8"/>
    <w:rsid w:val="004A54D8"/>
    <w:rsid w:val="004A56E7"/>
    <w:rsid w:val="004A576D"/>
    <w:rsid w:val="004A57E0"/>
    <w:rsid w:val="004A59A4"/>
    <w:rsid w:val="004A5AF9"/>
    <w:rsid w:val="004A5B22"/>
    <w:rsid w:val="004A5FD2"/>
    <w:rsid w:val="004A61C4"/>
    <w:rsid w:val="004A63C6"/>
    <w:rsid w:val="004A6541"/>
    <w:rsid w:val="004A67DE"/>
    <w:rsid w:val="004A685E"/>
    <w:rsid w:val="004A68AD"/>
    <w:rsid w:val="004A68AE"/>
    <w:rsid w:val="004A6BC8"/>
    <w:rsid w:val="004A6C5F"/>
    <w:rsid w:val="004A6E0E"/>
    <w:rsid w:val="004A7188"/>
    <w:rsid w:val="004A7210"/>
    <w:rsid w:val="004A726A"/>
    <w:rsid w:val="004A727E"/>
    <w:rsid w:val="004A7437"/>
    <w:rsid w:val="004A755E"/>
    <w:rsid w:val="004A776A"/>
    <w:rsid w:val="004A7878"/>
    <w:rsid w:val="004A7881"/>
    <w:rsid w:val="004A7914"/>
    <w:rsid w:val="004A798A"/>
    <w:rsid w:val="004A79D3"/>
    <w:rsid w:val="004A7ACB"/>
    <w:rsid w:val="004A7CC5"/>
    <w:rsid w:val="004A7DC4"/>
    <w:rsid w:val="004A7FBF"/>
    <w:rsid w:val="004B003D"/>
    <w:rsid w:val="004B0053"/>
    <w:rsid w:val="004B00A5"/>
    <w:rsid w:val="004B0278"/>
    <w:rsid w:val="004B02E5"/>
    <w:rsid w:val="004B030D"/>
    <w:rsid w:val="004B04CF"/>
    <w:rsid w:val="004B05E4"/>
    <w:rsid w:val="004B06F4"/>
    <w:rsid w:val="004B0933"/>
    <w:rsid w:val="004B09FB"/>
    <w:rsid w:val="004B0A82"/>
    <w:rsid w:val="004B0C90"/>
    <w:rsid w:val="004B0CBC"/>
    <w:rsid w:val="004B0CEA"/>
    <w:rsid w:val="004B0F85"/>
    <w:rsid w:val="004B1010"/>
    <w:rsid w:val="004B1065"/>
    <w:rsid w:val="004B10CA"/>
    <w:rsid w:val="004B1600"/>
    <w:rsid w:val="004B196D"/>
    <w:rsid w:val="004B1BCC"/>
    <w:rsid w:val="004B1CE3"/>
    <w:rsid w:val="004B1D49"/>
    <w:rsid w:val="004B1EBC"/>
    <w:rsid w:val="004B23A1"/>
    <w:rsid w:val="004B2491"/>
    <w:rsid w:val="004B264F"/>
    <w:rsid w:val="004B281B"/>
    <w:rsid w:val="004B2A0C"/>
    <w:rsid w:val="004B2B82"/>
    <w:rsid w:val="004B2C52"/>
    <w:rsid w:val="004B2E0A"/>
    <w:rsid w:val="004B2FF5"/>
    <w:rsid w:val="004B30C9"/>
    <w:rsid w:val="004B3233"/>
    <w:rsid w:val="004B32D0"/>
    <w:rsid w:val="004B33B7"/>
    <w:rsid w:val="004B348E"/>
    <w:rsid w:val="004B3588"/>
    <w:rsid w:val="004B35F8"/>
    <w:rsid w:val="004B3A9A"/>
    <w:rsid w:val="004B3D31"/>
    <w:rsid w:val="004B3E38"/>
    <w:rsid w:val="004B3F0C"/>
    <w:rsid w:val="004B42A2"/>
    <w:rsid w:val="004B45CB"/>
    <w:rsid w:val="004B4667"/>
    <w:rsid w:val="004B469E"/>
    <w:rsid w:val="004B46FB"/>
    <w:rsid w:val="004B48C5"/>
    <w:rsid w:val="004B48F3"/>
    <w:rsid w:val="004B4948"/>
    <w:rsid w:val="004B4B5F"/>
    <w:rsid w:val="004B4C69"/>
    <w:rsid w:val="004B4F5E"/>
    <w:rsid w:val="004B4FE2"/>
    <w:rsid w:val="004B508F"/>
    <w:rsid w:val="004B50D1"/>
    <w:rsid w:val="004B51CF"/>
    <w:rsid w:val="004B51FB"/>
    <w:rsid w:val="004B527B"/>
    <w:rsid w:val="004B56B7"/>
    <w:rsid w:val="004B56D7"/>
    <w:rsid w:val="004B5705"/>
    <w:rsid w:val="004B5885"/>
    <w:rsid w:val="004B59C1"/>
    <w:rsid w:val="004B5A6E"/>
    <w:rsid w:val="004B5B2D"/>
    <w:rsid w:val="004B5B7A"/>
    <w:rsid w:val="004B5BF6"/>
    <w:rsid w:val="004B5E64"/>
    <w:rsid w:val="004B5F8E"/>
    <w:rsid w:val="004B63C6"/>
    <w:rsid w:val="004B65A3"/>
    <w:rsid w:val="004B681C"/>
    <w:rsid w:val="004B68DF"/>
    <w:rsid w:val="004B6EAA"/>
    <w:rsid w:val="004B6EEE"/>
    <w:rsid w:val="004B7275"/>
    <w:rsid w:val="004B7600"/>
    <w:rsid w:val="004B7956"/>
    <w:rsid w:val="004B79A9"/>
    <w:rsid w:val="004B7A47"/>
    <w:rsid w:val="004B7AD6"/>
    <w:rsid w:val="004B7B77"/>
    <w:rsid w:val="004B7C46"/>
    <w:rsid w:val="004B7F19"/>
    <w:rsid w:val="004B7FF1"/>
    <w:rsid w:val="004C000F"/>
    <w:rsid w:val="004C0315"/>
    <w:rsid w:val="004C046A"/>
    <w:rsid w:val="004C07E9"/>
    <w:rsid w:val="004C0B2E"/>
    <w:rsid w:val="004C0BAB"/>
    <w:rsid w:val="004C10BD"/>
    <w:rsid w:val="004C1202"/>
    <w:rsid w:val="004C142A"/>
    <w:rsid w:val="004C1488"/>
    <w:rsid w:val="004C1979"/>
    <w:rsid w:val="004C1E7A"/>
    <w:rsid w:val="004C1EDA"/>
    <w:rsid w:val="004C200E"/>
    <w:rsid w:val="004C20BD"/>
    <w:rsid w:val="004C265B"/>
    <w:rsid w:val="004C26A9"/>
    <w:rsid w:val="004C2720"/>
    <w:rsid w:val="004C289E"/>
    <w:rsid w:val="004C2939"/>
    <w:rsid w:val="004C29BF"/>
    <w:rsid w:val="004C29F0"/>
    <w:rsid w:val="004C2A03"/>
    <w:rsid w:val="004C2DF2"/>
    <w:rsid w:val="004C3034"/>
    <w:rsid w:val="004C30D4"/>
    <w:rsid w:val="004C3103"/>
    <w:rsid w:val="004C31AF"/>
    <w:rsid w:val="004C35D2"/>
    <w:rsid w:val="004C36A0"/>
    <w:rsid w:val="004C36D5"/>
    <w:rsid w:val="004C3762"/>
    <w:rsid w:val="004C3CEE"/>
    <w:rsid w:val="004C4145"/>
    <w:rsid w:val="004C43FA"/>
    <w:rsid w:val="004C4498"/>
    <w:rsid w:val="004C4826"/>
    <w:rsid w:val="004C48EF"/>
    <w:rsid w:val="004C4932"/>
    <w:rsid w:val="004C49B3"/>
    <w:rsid w:val="004C4C29"/>
    <w:rsid w:val="004C4EB5"/>
    <w:rsid w:val="004C5066"/>
    <w:rsid w:val="004C5302"/>
    <w:rsid w:val="004C5325"/>
    <w:rsid w:val="004C5477"/>
    <w:rsid w:val="004C548D"/>
    <w:rsid w:val="004C5745"/>
    <w:rsid w:val="004C5955"/>
    <w:rsid w:val="004C5C3E"/>
    <w:rsid w:val="004C5E17"/>
    <w:rsid w:val="004C5F5F"/>
    <w:rsid w:val="004C5FEE"/>
    <w:rsid w:val="004C61B9"/>
    <w:rsid w:val="004C6361"/>
    <w:rsid w:val="004C67EB"/>
    <w:rsid w:val="004C6879"/>
    <w:rsid w:val="004C6A68"/>
    <w:rsid w:val="004C6BA5"/>
    <w:rsid w:val="004C6BC2"/>
    <w:rsid w:val="004C6BFD"/>
    <w:rsid w:val="004C6DE1"/>
    <w:rsid w:val="004C70BC"/>
    <w:rsid w:val="004C70EF"/>
    <w:rsid w:val="004C73E4"/>
    <w:rsid w:val="004C75D5"/>
    <w:rsid w:val="004C76A4"/>
    <w:rsid w:val="004C7849"/>
    <w:rsid w:val="004C7975"/>
    <w:rsid w:val="004C7DC3"/>
    <w:rsid w:val="004C7E11"/>
    <w:rsid w:val="004D0034"/>
    <w:rsid w:val="004D01D1"/>
    <w:rsid w:val="004D0209"/>
    <w:rsid w:val="004D02EE"/>
    <w:rsid w:val="004D0362"/>
    <w:rsid w:val="004D03C7"/>
    <w:rsid w:val="004D06FE"/>
    <w:rsid w:val="004D08CC"/>
    <w:rsid w:val="004D09A3"/>
    <w:rsid w:val="004D0A68"/>
    <w:rsid w:val="004D0C4E"/>
    <w:rsid w:val="004D0CC6"/>
    <w:rsid w:val="004D0D3C"/>
    <w:rsid w:val="004D0DF6"/>
    <w:rsid w:val="004D1116"/>
    <w:rsid w:val="004D1366"/>
    <w:rsid w:val="004D1420"/>
    <w:rsid w:val="004D144E"/>
    <w:rsid w:val="004D1567"/>
    <w:rsid w:val="004D1667"/>
    <w:rsid w:val="004D16C9"/>
    <w:rsid w:val="004D1981"/>
    <w:rsid w:val="004D1C14"/>
    <w:rsid w:val="004D1C92"/>
    <w:rsid w:val="004D1E36"/>
    <w:rsid w:val="004D1F42"/>
    <w:rsid w:val="004D1F5E"/>
    <w:rsid w:val="004D2200"/>
    <w:rsid w:val="004D2248"/>
    <w:rsid w:val="004D2277"/>
    <w:rsid w:val="004D23E3"/>
    <w:rsid w:val="004D2477"/>
    <w:rsid w:val="004D24A6"/>
    <w:rsid w:val="004D293A"/>
    <w:rsid w:val="004D295C"/>
    <w:rsid w:val="004D2A10"/>
    <w:rsid w:val="004D2B67"/>
    <w:rsid w:val="004D2CA3"/>
    <w:rsid w:val="004D2E50"/>
    <w:rsid w:val="004D312F"/>
    <w:rsid w:val="004D318C"/>
    <w:rsid w:val="004D3224"/>
    <w:rsid w:val="004D34F1"/>
    <w:rsid w:val="004D3759"/>
    <w:rsid w:val="004D3AF4"/>
    <w:rsid w:val="004D3F2F"/>
    <w:rsid w:val="004D42B6"/>
    <w:rsid w:val="004D4405"/>
    <w:rsid w:val="004D467E"/>
    <w:rsid w:val="004D46D4"/>
    <w:rsid w:val="004D4766"/>
    <w:rsid w:val="004D480F"/>
    <w:rsid w:val="004D4944"/>
    <w:rsid w:val="004D4959"/>
    <w:rsid w:val="004D4C35"/>
    <w:rsid w:val="004D4CFD"/>
    <w:rsid w:val="004D4F1D"/>
    <w:rsid w:val="004D4F5E"/>
    <w:rsid w:val="004D51DC"/>
    <w:rsid w:val="004D535D"/>
    <w:rsid w:val="004D54D0"/>
    <w:rsid w:val="004D56C8"/>
    <w:rsid w:val="004D5851"/>
    <w:rsid w:val="004D5A8C"/>
    <w:rsid w:val="004D5AA1"/>
    <w:rsid w:val="004D5C08"/>
    <w:rsid w:val="004D5DF5"/>
    <w:rsid w:val="004D5FC8"/>
    <w:rsid w:val="004D5FD7"/>
    <w:rsid w:val="004D61F3"/>
    <w:rsid w:val="004D6221"/>
    <w:rsid w:val="004D628B"/>
    <w:rsid w:val="004D6503"/>
    <w:rsid w:val="004D66C1"/>
    <w:rsid w:val="004D673F"/>
    <w:rsid w:val="004D69B7"/>
    <w:rsid w:val="004D6CFA"/>
    <w:rsid w:val="004D6DB3"/>
    <w:rsid w:val="004D6E0C"/>
    <w:rsid w:val="004D6EB6"/>
    <w:rsid w:val="004D6FBA"/>
    <w:rsid w:val="004D7081"/>
    <w:rsid w:val="004D7509"/>
    <w:rsid w:val="004D7593"/>
    <w:rsid w:val="004D7634"/>
    <w:rsid w:val="004D7697"/>
    <w:rsid w:val="004D7761"/>
    <w:rsid w:val="004D7E34"/>
    <w:rsid w:val="004D7E76"/>
    <w:rsid w:val="004E04E2"/>
    <w:rsid w:val="004E06C6"/>
    <w:rsid w:val="004E07A6"/>
    <w:rsid w:val="004E07BB"/>
    <w:rsid w:val="004E0968"/>
    <w:rsid w:val="004E0A48"/>
    <w:rsid w:val="004E0C03"/>
    <w:rsid w:val="004E0C10"/>
    <w:rsid w:val="004E0C50"/>
    <w:rsid w:val="004E0CC9"/>
    <w:rsid w:val="004E0D5C"/>
    <w:rsid w:val="004E0D5F"/>
    <w:rsid w:val="004E0DB6"/>
    <w:rsid w:val="004E0E4F"/>
    <w:rsid w:val="004E0F31"/>
    <w:rsid w:val="004E1282"/>
    <w:rsid w:val="004E1354"/>
    <w:rsid w:val="004E13C6"/>
    <w:rsid w:val="004E1520"/>
    <w:rsid w:val="004E1613"/>
    <w:rsid w:val="004E164C"/>
    <w:rsid w:val="004E16C2"/>
    <w:rsid w:val="004E1AB7"/>
    <w:rsid w:val="004E1CBB"/>
    <w:rsid w:val="004E23C2"/>
    <w:rsid w:val="004E267E"/>
    <w:rsid w:val="004E274C"/>
    <w:rsid w:val="004E27D0"/>
    <w:rsid w:val="004E27DD"/>
    <w:rsid w:val="004E2876"/>
    <w:rsid w:val="004E2A81"/>
    <w:rsid w:val="004E2BAF"/>
    <w:rsid w:val="004E2BF6"/>
    <w:rsid w:val="004E2D36"/>
    <w:rsid w:val="004E2DE4"/>
    <w:rsid w:val="004E2ED3"/>
    <w:rsid w:val="004E2FA9"/>
    <w:rsid w:val="004E35CE"/>
    <w:rsid w:val="004E36CA"/>
    <w:rsid w:val="004E371B"/>
    <w:rsid w:val="004E37AB"/>
    <w:rsid w:val="004E38E6"/>
    <w:rsid w:val="004E39D9"/>
    <w:rsid w:val="004E3B39"/>
    <w:rsid w:val="004E3BE6"/>
    <w:rsid w:val="004E3D1C"/>
    <w:rsid w:val="004E3F2A"/>
    <w:rsid w:val="004E3F88"/>
    <w:rsid w:val="004E4010"/>
    <w:rsid w:val="004E40A9"/>
    <w:rsid w:val="004E4411"/>
    <w:rsid w:val="004E4698"/>
    <w:rsid w:val="004E46F4"/>
    <w:rsid w:val="004E481D"/>
    <w:rsid w:val="004E49B5"/>
    <w:rsid w:val="004E4B21"/>
    <w:rsid w:val="004E526A"/>
    <w:rsid w:val="004E52DD"/>
    <w:rsid w:val="004E5466"/>
    <w:rsid w:val="004E56D2"/>
    <w:rsid w:val="004E58E8"/>
    <w:rsid w:val="004E5963"/>
    <w:rsid w:val="004E59F0"/>
    <w:rsid w:val="004E5AA1"/>
    <w:rsid w:val="004E5B0D"/>
    <w:rsid w:val="004E5D3B"/>
    <w:rsid w:val="004E5DB8"/>
    <w:rsid w:val="004E5DDC"/>
    <w:rsid w:val="004E60BF"/>
    <w:rsid w:val="004E621C"/>
    <w:rsid w:val="004E651E"/>
    <w:rsid w:val="004E65EC"/>
    <w:rsid w:val="004E6603"/>
    <w:rsid w:val="004E6CFF"/>
    <w:rsid w:val="004E6D35"/>
    <w:rsid w:val="004E6E28"/>
    <w:rsid w:val="004E6ECB"/>
    <w:rsid w:val="004E74E2"/>
    <w:rsid w:val="004E771F"/>
    <w:rsid w:val="004E77A0"/>
    <w:rsid w:val="004E788A"/>
    <w:rsid w:val="004E7B58"/>
    <w:rsid w:val="004E7C21"/>
    <w:rsid w:val="004E7D43"/>
    <w:rsid w:val="004F005F"/>
    <w:rsid w:val="004F00EA"/>
    <w:rsid w:val="004F0658"/>
    <w:rsid w:val="004F0A8D"/>
    <w:rsid w:val="004F0B77"/>
    <w:rsid w:val="004F0B96"/>
    <w:rsid w:val="004F0C7A"/>
    <w:rsid w:val="004F0CA0"/>
    <w:rsid w:val="004F0E5C"/>
    <w:rsid w:val="004F1041"/>
    <w:rsid w:val="004F10A3"/>
    <w:rsid w:val="004F1593"/>
    <w:rsid w:val="004F15A4"/>
    <w:rsid w:val="004F1670"/>
    <w:rsid w:val="004F16EC"/>
    <w:rsid w:val="004F194B"/>
    <w:rsid w:val="004F1B9C"/>
    <w:rsid w:val="004F1C2B"/>
    <w:rsid w:val="004F1DB3"/>
    <w:rsid w:val="004F1F66"/>
    <w:rsid w:val="004F203D"/>
    <w:rsid w:val="004F259A"/>
    <w:rsid w:val="004F2791"/>
    <w:rsid w:val="004F2FF0"/>
    <w:rsid w:val="004F347D"/>
    <w:rsid w:val="004F34BA"/>
    <w:rsid w:val="004F353D"/>
    <w:rsid w:val="004F3755"/>
    <w:rsid w:val="004F377B"/>
    <w:rsid w:val="004F3A1F"/>
    <w:rsid w:val="004F3BD0"/>
    <w:rsid w:val="004F3C04"/>
    <w:rsid w:val="004F3C30"/>
    <w:rsid w:val="004F3DD4"/>
    <w:rsid w:val="004F3DEE"/>
    <w:rsid w:val="004F3F0B"/>
    <w:rsid w:val="004F3F2B"/>
    <w:rsid w:val="004F3F64"/>
    <w:rsid w:val="004F3F75"/>
    <w:rsid w:val="004F403F"/>
    <w:rsid w:val="004F405F"/>
    <w:rsid w:val="004F43B0"/>
    <w:rsid w:val="004F4441"/>
    <w:rsid w:val="004F44BD"/>
    <w:rsid w:val="004F45B5"/>
    <w:rsid w:val="004F4C76"/>
    <w:rsid w:val="004F4C9E"/>
    <w:rsid w:val="004F5307"/>
    <w:rsid w:val="004F5547"/>
    <w:rsid w:val="004F5A96"/>
    <w:rsid w:val="004F617B"/>
    <w:rsid w:val="004F651E"/>
    <w:rsid w:val="004F654D"/>
    <w:rsid w:val="004F659A"/>
    <w:rsid w:val="004F6784"/>
    <w:rsid w:val="004F6829"/>
    <w:rsid w:val="004F683D"/>
    <w:rsid w:val="004F6873"/>
    <w:rsid w:val="004F6A32"/>
    <w:rsid w:val="004F6A3E"/>
    <w:rsid w:val="004F6BAE"/>
    <w:rsid w:val="004F6E20"/>
    <w:rsid w:val="004F7162"/>
    <w:rsid w:val="004F7192"/>
    <w:rsid w:val="004F7230"/>
    <w:rsid w:val="004F72B9"/>
    <w:rsid w:val="004F74EB"/>
    <w:rsid w:val="004F74FF"/>
    <w:rsid w:val="004F751F"/>
    <w:rsid w:val="004F7581"/>
    <w:rsid w:val="004F7594"/>
    <w:rsid w:val="004F75BF"/>
    <w:rsid w:val="004F7615"/>
    <w:rsid w:val="004F76E2"/>
    <w:rsid w:val="004F7747"/>
    <w:rsid w:val="004F7793"/>
    <w:rsid w:val="004F7825"/>
    <w:rsid w:val="004F7957"/>
    <w:rsid w:val="004F79AA"/>
    <w:rsid w:val="004F7B89"/>
    <w:rsid w:val="004F7D6F"/>
    <w:rsid w:val="004F7DB0"/>
    <w:rsid w:val="004F7E57"/>
    <w:rsid w:val="004F7F7D"/>
    <w:rsid w:val="005000B3"/>
    <w:rsid w:val="0050020D"/>
    <w:rsid w:val="00500375"/>
    <w:rsid w:val="00500584"/>
    <w:rsid w:val="005005F8"/>
    <w:rsid w:val="0050079C"/>
    <w:rsid w:val="00500802"/>
    <w:rsid w:val="00500D58"/>
    <w:rsid w:val="00500D91"/>
    <w:rsid w:val="00500E8C"/>
    <w:rsid w:val="00501507"/>
    <w:rsid w:val="00501A65"/>
    <w:rsid w:val="00501B4A"/>
    <w:rsid w:val="00501B7A"/>
    <w:rsid w:val="00501FB4"/>
    <w:rsid w:val="0050202E"/>
    <w:rsid w:val="0050221D"/>
    <w:rsid w:val="00502705"/>
    <w:rsid w:val="00502B91"/>
    <w:rsid w:val="00502C31"/>
    <w:rsid w:val="00502E1D"/>
    <w:rsid w:val="00502EEC"/>
    <w:rsid w:val="00503002"/>
    <w:rsid w:val="0050310B"/>
    <w:rsid w:val="00503114"/>
    <w:rsid w:val="0050329B"/>
    <w:rsid w:val="005035C6"/>
    <w:rsid w:val="005035CA"/>
    <w:rsid w:val="0050395B"/>
    <w:rsid w:val="00503E51"/>
    <w:rsid w:val="00503E58"/>
    <w:rsid w:val="00503F1C"/>
    <w:rsid w:val="0050405D"/>
    <w:rsid w:val="00504225"/>
    <w:rsid w:val="00504419"/>
    <w:rsid w:val="0050452E"/>
    <w:rsid w:val="005045A2"/>
    <w:rsid w:val="005046A0"/>
    <w:rsid w:val="00504763"/>
    <w:rsid w:val="0050478C"/>
    <w:rsid w:val="005048D4"/>
    <w:rsid w:val="005048DC"/>
    <w:rsid w:val="00504C19"/>
    <w:rsid w:val="00504C52"/>
    <w:rsid w:val="00504CBC"/>
    <w:rsid w:val="00504ED5"/>
    <w:rsid w:val="00505176"/>
    <w:rsid w:val="005052D8"/>
    <w:rsid w:val="00505450"/>
    <w:rsid w:val="00505546"/>
    <w:rsid w:val="005056F3"/>
    <w:rsid w:val="0050574D"/>
    <w:rsid w:val="005058C6"/>
    <w:rsid w:val="00505A7B"/>
    <w:rsid w:val="00505AAA"/>
    <w:rsid w:val="00505C93"/>
    <w:rsid w:val="005060AD"/>
    <w:rsid w:val="00506389"/>
    <w:rsid w:val="00506555"/>
    <w:rsid w:val="00506670"/>
    <w:rsid w:val="00506685"/>
    <w:rsid w:val="00506875"/>
    <w:rsid w:val="00506AE8"/>
    <w:rsid w:val="00506B3A"/>
    <w:rsid w:val="00506DD7"/>
    <w:rsid w:val="00507300"/>
    <w:rsid w:val="00507605"/>
    <w:rsid w:val="005078A0"/>
    <w:rsid w:val="005078C4"/>
    <w:rsid w:val="005078DD"/>
    <w:rsid w:val="00507A49"/>
    <w:rsid w:val="00507A51"/>
    <w:rsid w:val="005104DE"/>
    <w:rsid w:val="005108C3"/>
    <w:rsid w:val="00510B2B"/>
    <w:rsid w:val="00511363"/>
    <w:rsid w:val="005113FB"/>
    <w:rsid w:val="00511474"/>
    <w:rsid w:val="00511565"/>
    <w:rsid w:val="005115BF"/>
    <w:rsid w:val="005115CA"/>
    <w:rsid w:val="00511816"/>
    <w:rsid w:val="00511843"/>
    <w:rsid w:val="005118AE"/>
    <w:rsid w:val="00511A1C"/>
    <w:rsid w:val="005120D8"/>
    <w:rsid w:val="0051219B"/>
    <w:rsid w:val="005125A4"/>
    <w:rsid w:val="0051264C"/>
    <w:rsid w:val="005126CF"/>
    <w:rsid w:val="005126D8"/>
    <w:rsid w:val="0051280F"/>
    <w:rsid w:val="005129F8"/>
    <w:rsid w:val="00512A6A"/>
    <w:rsid w:val="00512D80"/>
    <w:rsid w:val="00512E22"/>
    <w:rsid w:val="005134EE"/>
    <w:rsid w:val="005135BF"/>
    <w:rsid w:val="0051375D"/>
    <w:rsid w:val="0051385D"/>
    <w:rsid w:val="00513A44"/>
    <w:rsid w:val="00513C08"/>
    <w:rsid w:val="00513E91"/>
    <w:rsid w:val="005140A2"/>
    <w:rsid w:val="005140E5"/>
    <w:rsid w:val="005143CB"/>
    <w:rsid w:val="005146FB"/>
    <w:rsid w:val="00514AF2"/>
    <w:rsid w:val="00514C05"/>
    <w:rsid w:val="00515023"/>
    <w:rsid w:val="00515049"/>
    <w:rsid w:val="005155AF"/>
    <w:rsid w:val="00515892"/>
    <w:rsid w:val="00515BA4"/>
    <w:rsid w:val="00515D4F"/>
    <w:rsid w:val="00515E78"/>
    <w:rsid w:val="00515F09"/>
    <w:rsid w:val="005162DA"/>
    <w:rsid w:val="0051644E"/>
    <w:rsid w:val="00516541"/>
    <w:rsid w:val="005165FD"/>
    <w:rsid w:val="0051660E"/>
    <w:rsid w:val="0051664D"/>
    <w:rsid w:val="00516729"/>
    <w:rsid w:val="0051699D"/>
    <w:rsid w:val="005169B1"/>
    <w:rsid w:val="005169C0"/>
    <w:rsid w:val="00516B27"/>
    <w:rsid w:val="00516D16"/>
    <w:rsid w:val="00516F55"/>
    <w:rsid w:val="00516F86"/>
    <w:rsid w:val="00516FE6"/>
    <w:rsid w:val="00517116"/>
    <w:rsid w:val="0051740E"/>
    <w:rsid w:val="005174AB"/>
    <w:rsid w:val="005174F7"/>
    <w:rsid w:val="00517BCA"/>
    <w:rsid w:val="00517CE8"/>
    <w:rsid w:val="00517EC9"/>
    <w:rsid w:val="00517F9C"/>
    <w:rsid w:val="005200BC"/>
    <w:rsid w:val="005200FC"/>
    <w:rsid w:val="00520165"/>
    <w:rsid w:val="00520294"/>
    <w:rsid w:val="0052054A"/>
    <w:rsid w:val="0052058F"/>
    <w:rsid w:val="00520597"/>
    <w:rsid w:val="0052063D"/>
    <w:rsid w:val="00520835"/>
    <w:rsid w:val="00520E68"/>
    <w:rsid w:val="00520EAE"/>
    <w:rsid w:val="00521015"/>
    <w:rsid w:val="005212D8"/>
    <w:rsid w:val="005212E4"/>
    <w:rsid w:val="00521346"/>
    <w:rsid w:val="00521384"/>
    <w:rsid w:val="00521603"/>
    <w:rsid w:val="005216A8"/>
    <w:rsid w:val="005216CB"/>
    <w:rsid w:val="00521973"/>
    <w:rsid w:val="00521979"/>
    <w:rsid w:val="00521A21"/>
    <w:rsid w:val="00521CBA"/>
    <w:rsid w:val="00521EAF"/>
    <w:rsid w:val="005220AF"/>
    <w:rsid w:val="00522183"/>
    <w:rsid w:val="00522712"/>
    <w:rsid w:val="00522B64"/>
    <w:rsid w:val="00522CB2"/>
    <w:rsid w:val="00522EB5"/>
    <w:rsid w:val="00522F00"/>
    <w:rsid w:val="00522F01"/>
    <w:rsid w:val="00523186"/>
    <w:rsid w:val="0052349F"/>
    <w:rsid w:val="005235A1"/>
    <w:rsid w:val="005236EA"/>
    <w:rsid w:val="00523820"/>
    <w:rsid w:val="005238AC"/>
    <w:rsid w:val="00523A12"/>
    <w:rsid w:val="00523BE2"/>
    <w:rsid w:val="00523E9F"/>
    <w:rsid w:val="00523F63"/>
    <w:rsid w:val="005240ED"/>
    <w:rsid w:val="005243BC"/>
    <w:rsid w:val="00524444"/>
    <w:rsid w:val="00524773"/>
    <w:rsid w:val="005247CD"/>
    <w:rsid w:val="005248E9"/>
    <w:rsid w:val="005249A2"/>
    <w:rsid w:val="00524EA0"/>
    <w:rsid w:val="00524ED3"/>
    <w:rsid w:val="00524EF5"/>
    <w:rsid w:val="0052504C"/>
    <w:rsid w:val="00525058"/>
    <w:rsid w:val="005251D3"/>
    <w:rsid w:val="005252B8"/>
    <w:rsid w:val="005252CE"/>
    <w:rsid w:val="005252E3"/>
    <w:rsid w:val="0052532A"/>
    <w:rsid w:val="005254F0"/>
    <w:rsid w:val="005255BD"/>
    <w:rsid w:val="005256C9"/>
    <w:rsid w:val="0052575A"/>
    <w:rsid w:val="00525796"/>
    <w:rsid w:val="005259D1"/>
    <w:rsid w:val="00525A0C"/>
    <w:rsid w:val="00525ABD"/>
    <w:rsid w:val="00525E52"/>
    <w:rsid w:val="00525ED2"/>
    <w:rsid w:val="00525F6B"/>
    <w:rsid w:val="005262BF"/>
    <w:rsid w:val="0052636F"/>
    <w:rsid w:val="0052660D"/>
    <w:rsid w:val="00526708"/>
    <w:rsid w:val="005267AA"/>
    <w:rsid w:val="0052681C"/>
    <w:rsid w:val="00526A15"/>
    <w:rsid w:val="00526C8D"/>
    <w:rsid w:val="00526E07"/>
    <w:rsid w:val="00526E9E"/>
    <w:rsid w:val="005270E2"/>
    <w:rsid w:val="005273EF"/>
    <w:rsid w:val="005276EC"/>
    <w:rsid w:val="00527909"/>
    <w:rsid w:val="00527AAA"/>
    <w:rsid w:val="00527C18"/>
    <w:rsid w:val="00527D7C"/>
    <w:rsid w:val="00527DA8"/>
    <w:rsid w:val="00530015"/>
    <w:rsid w:val="0053007F"/>
    <w:rsid w:val="00530180"/>
    <w:rsid w:val="005301D6"/>
    <w:rsid w:val="00530407"/>
    <w:rsid w:val="00530C91"/>
    <w:rsid w:val="005311D3"/>
    <w:rsid w:val="005312AD"/>
    <w:rsid w:val="00531396"/>
    <w:rsid w:val="005313C8"/>
    <w:rsid w:val="005314E6"/>
    <w:rsid w:val="005316C5"/>
    <w:rsid w:val="00531814"/>
    <w:rsid w:val="005318C2"/>
    <w:rsid w:val="00531AD2"/>
    <w:rsid w:val="00531BEE"/>
    <w:rsid w:val="00531D52"/>
    <w:rsid w:val="00531E19"/>
    <w:rsid w:val="005321E3"/>
    <w:rsid w:val="005321E9"/>
    <w:rsid w:val="0053220A"/>
    <w:rsid w:val="00532348"/>
    <w:rsid w:val="0053237F"/>
    <w:rsid w:val="005323B5"/>
    <w:rsid w:val="00532816"/>
    <w:rsid w:val="00532889"/>
    <w:rsid w:val="00532B0B"/>
    <w:rsid w:val="00532B14"/>
    <w:rsid w:val="00532B57"/>
    <w:rsid w:val="00532B71"/>
    <w:rsid w:val="00532CB1"/>
    <w:rsid w:val="00532E5C"/>
    <w:rsid w:val="00532EB9"/>
    <w:rsid w:val="005330B9"/>
    <w:rsid w:val="0053317E"/>
    <w:rsid w:val="00533439"/>
    <w:rsid w:val="005334A6"/>
    <w:rsid w:val="00533566"/>
    <w:rsid w:val="005336E7"/>
    <w:rsid w:val="00533933"/>
    <w:rsid w:val="005339B7"/>
    <w:rsid w:val="00533F0E"/>
    <w:rsid w:val="005340A8"/>
    <w:rsid w:val="005340F1"/>
    <w:rsid w:val="00534666"/>
    <w:rsid w:val="00534672"/>
    <w:rsid w:val="005346DB"/>
    <w:rsid w:val="005347C3"/>
    <w:rsid w:val="00534899"/>
    <w:rsid w:val="00534BA5"/>
    <w:rsid w:val="00534BE2"/>
    <w:rsid w:val="00535037"/>
    <w:rsid w:val="0053544F"/>
    <w:rsid w:val="005354CA"/>
    <w:rsid w:val="005356D4"/>
    <w:rsid w:val="00535AAD"/>
    <w:rsid w:val="00535AE0"/>
    <w:rsid w:val="00535BB3"/>
    <w:rsid w:val="00535C3F"/>
    <w:rsid w:val="00535C42"/>
    <w:rsid w:val="00535E87"/>
    <w:rsid w:val="00535F2E"/>
    <w:rsid w:val="00535F96"/>
    <w:rsid w:val="00535FE9"/>
    <w:rsid w:val="00536054"/>
    <w:rsid w:val="00536121"/>
    <w:rsid w:val="00536228"/>
    <w:rsid w:val="0053622E"/>
    <w:rsid w:val="005362AF"/>
    <w:rsid w:val="0053637A"/>
    <w:rsid w:val="005363F5"/>
    <w:rsid w:val="005366C5"/>
    <w:rsid w:val="0053687B"/>
    <w:rsid w:val="005369BC"/>
    <w:rsid w:val="005369D3"/>
    <w:rsid w:val="00536A64"/>
    <w:rsid w:val="00536B2A"/>
    <w:rsid w:val="00536B74"/>
    <w:rsid w:val="00536B82"/>
    <w:rsid w:val="00536B9A"/>
    <w:rsid w:val="00536B9B"/>
    <w:rsid w:val="00536CB5"/>
    <w:rsid w:val="00536D53"/>
    <w:rsid w:val="005373D5"/>
    <w:rsid w:val="00537540"/>
    <w:rsid w:val="0053776B"/>
    <w:rsid w:val="00537796"/>
    <w:rsid w:val="005377F5"/>
    <w:rsid w:val="00537950"/>
    <w:rsid w:val="00537980"/>
    <w:rsid w:val="00537A9E"/>
    <w:rsid w:val="00537B89"/>
    <w:rsid w:val="00537CEA"/>
    <w:rsid w:val="00537EF5"/>
    <w:rsid w:val="0054001C"/>
    <w:rsid w:val="00540024"/>
    <w:rsid w:val="005401BA"/>
    <w:rsid w:val="00540342"/>
    <w:rsid w:val="00540411"/>
    <w:rsid w:val="005405F0"/>
    <w:rsid w:val="00540665"/>
    <w:rsid w:val="0054071D"/>
    <w:rsid w:val="00540CD3"/>
    <w:rsid w:val="00540DA4"/>
    <w:rsid w:val="00540EF4"/>
    <w:rsid w:val="0054106D"/>
    <w:rsid w:val="00541228"/>
    <w:rsid w:val="00541311"/>
    <w:rsid w:val="005414E6"/>
    <w:rsid w:val="005418D5"/>
    <w:rsid w:val="0054190C"/>
    <w:rsid w:val="0054193A"/>
    <w:rsid w:val="0054194D"/>
    <w:rsid w:val="00541B3A"/>
    <w:rsid w:val="0054255D"/>
    <w:rsid w:val="005428E8"/>
    <w:rsid w:val="00543094"/>
    <w:rsid w:val="0054323B"/>
    <w:rsid w:val="00543484"/>
    <w:rsid w:val="0054354F"/>
    <w:rsid w:val="00543588"/>
    <w:rsid w:val="00543698"/>
    <w:rsid w:val="00543B18"/>
    <w:rsid w:val="00543CBB"/>
    <w:rsid w:val="00543CFE"/>
    <w:rsid w:val="00544225"/>
    <w:rsid w:val="00544265"/>
    <w:rsid w:val="00544390"/>
    <w:rsid w:val="0054465E"/>
    <w:rsid w:val="00544C29"/>
    <w:rsid w:val="00544C95"/>
    <w:rsid w:val="00544C9E"/>
    <w:rsid w:val="00544E5C"/>
    <w:rsid w:val="00544E5E"/>
    <w:rsid w:val="005459A2"/>
    <w:rsid w:val="005459C5"/>
    <w:rsid w:val="00545A01"/>
    <w:rsid w:val="00545CA7"/>
    <w:rsid w:val="00545E22"/>
    <w:rsid w:val="00545E55"/>
    <w:rsid w:val="00546037"/>
    <w:rsid w:val="00546043"/>
    <w:rsid w:val="005464CB"/>
    <w:rsid w:val="00546634"/>
    <w:rsid w:val="00546708"/>
    <w:rsid w:val="005467A6"/>
    <w:rsid w:val="00546B2A"/>
    <w:rsid w:val="00546BAD"/>
    <w:rsid w:val="00546D63"/>
    <w:rsid w:val="00546D83"/>
    <w:rsid w:val="00546DEC"/>
    <w:rsid w:val="00546EF2"/>
    <w:rsid w:val="0054713D"/>
    <w:rsid w:val="00547304"/>
    <w:rsid w:val="0054755A"/>
    <w:rsid w:val="00547630"/>
    <w:rsid w:val="005476B7"/>
    <w:rsid w:val="00547804"/>
    <w:rsid w:val="0054797E"/>
    <w:rsid w:val="00547A61"/>
    <w:rsid w:val="00547ADC"/>
    <w:rsid w:val="00547CE4"/>
    <w:rsid w:val="00547FDC"/>
    <w:rsid w:val="00550026"/>
    <w:rsid w:val="0055016C"/>
    <w:rsid w:val="0055061D"/>
    <w:rsid w:val="00550783"/>
    <w:rsid w:val="00550835"/>
    <w:rsid w:val="00550A20"/>
    <w:rsid w:val="00550AB5"/>
    <w:rsid w:val="00550D26"/>
    <w:rsid w:val="00550F6C"/>
    <w:rsid w:val="00551340"/>
    <w:rsid w:val="0055145E"/>
    <w:rsid w:val="00551577"/>
    <w:rsid w:val="00551A84"/>
    <w:rsid w:val="00551CF6"/>
    <w:rsid w:val="00551E48"/>
    <w:rsid w:val="00552173"/>
    <w:rsid w:val="005523B0"/>
    <w:rsid w:val="005524AF"/>
    <w:rsid w:val="005525EE"/>
    <w:rsid w:val="0055272E"/>
    <w:rsid w:val="00552858"/>
    <w:rsid w:val="00552A46"/>
    <w:rsid w:val="00552B9B"/>
    <w:rsid w:val="00552BC5"/>
    <w:rsid w:val="00552CA1"/>
    <w:rsid w:val="00552EB3"/>
    <w:rsid w:val="00552FA6"/>
    <w:rsid w:val="00552FB6"/>
    <w:rsid w:val="0055322F"/>
    <w:rsid w:val="0055393B"/>
    <w:rsid w:val="0055395E"/>
    <w:rsid w:val="00553AE7"/>
    <w:rsid w:val="00553BFC"/>
    <w:rsid w:val="00553C10"/>
    <w:rsid w:val="00553D7A"/>
    <w:rsid w:val="00553E34"/>
    <w:rsid w:val="00553E4A"/>
    <w:rsid w:val="00553E9E"/>
    <w:rsid w:val="005540A4"/>
    <w:rsid w:val="005540A6"/>
    <w:rsid w:val="0055441C"/>
    <w:rsid w:val="005545B4"/>
    <w:rsid w:val="005547A8"/>
    <w:rsid w:val="0055500B"/>
    <w:rsid w:val="00555057"/>
    <w:rsid w:val="00555197"/>
    <w:rsid w:val="005554BC"/>
    <w:rsid w:val="00555549"/>
    <w:rsid w:val="005555C4"/>
    <w:rsid w:val="005559D3"/>
    <w:rsid w:val="00555C5C"/>
    <w:rsid w:val="00555F90"/>
    <w:rsid w:val="005560BA"/>
    <w:rsid w:val="00556130"/>
    <w:rsid w:val="00556239"/>
    <w:rsid w:val="0055646A"/>
    <w:rsid w:val="005565CD"/>
    <w:rsid w:val="00556623"/>
    <w:rsid w:val="00556774"/>
    <w:rsid w:val="00556A7E"/>
    <w:rsid w:val="00556B98"/>
    <w:rsid w:val="00556BC9"/>
    <w:rsid w:val="00556E4B"/>
    <w:rsid w:val="00557156"/>
    <w:rsid w:val="00557245"/>
    <w:rsid w:val="005573C6"/>
    <w:rsid w:val="00557731"/>
    <w:rsid w:val="00557969"/>
    <w:rsid w:val="00557BB3"/>
    <w:rsid w:val="00557F40"/>
    <w:rsid w:val="00560044"/>
    <w:rsid w:val="00560549"/>
    <w:rsid w:val="005608D5"/>
    <w:rsid w:val="00560AFD"/>
    <w:rsid w:val="00560BA2"/>
    <w:rsid w:val="00560CF1"/>
    <w:rsid w:val="00560F67"/>
    <w:rsid w:val="0056117E"/>
    <w:rsid w:val="005611A6"/>
    <w:rsid w:val="005611DD"/>
    <w:rsid w:val="0056169B"/>
    <w:rsid w:val="005617B4"/>
    <w:rsid w:val="0056181B"/>
    <w:rsid w:val="00561877"/>
    <w:rsid w:val="00561939"/>
    <w:rsid w:val="00561B2F"/>
    <w:rsid w:val="00561C86"/>
    <w:rsid w:val="00561DD1"/>
    <w:rsid w:val="00561E11"/>
    <w:rsid w:val="00561E48"/>
    <w:rsid w:val="00561E92"/>
    <w:rsid w:val="00561ED7"/>
    <w:rsid w:val="0056206A"/>
    <w:rsid w:val="005620A7"/>
    <w:rsid w:val="005622EC"/>
    <w:rsid w:val="00562384"/>
    <w:rsid w:val="00562477"/>
    <w:rsid w:val="00562539"/>
    <w:rsid w:val="00562546"/>
    <w:rsid w:val="005628BA"/>
    <w:rsid w:val="005628FF"/>
    <w:rsid w:val="00562A98"/>
    <w:rsid w:val="00562D4A"/>
    <w:rsid w:val="00562F9E"/>
    <w:rsid w:val="00563008"/>
    <w:rsid w:val="005630E5"/>
    <w:rsid w:val="00563231"/>
    <w:rsid w:val="005632E9"/>
    <w:rsid w:val="005638FE"/>
    <w:rsid w:val="00563929"/>
    <w:rsid w:val="00563F23"/>
    <w:rsid w:val="00563FCC"/>
    <w:rsid w:val="00563FFB"/>
    <w:rsid w:val="005643DD"/>
    <w:rsid w:val="00564498"/>
    <w:rsid w:val="00564786"/>
    <w:rsid w:val="00564882"/>
    <w:rsid w:val="005648B0"/>
    <w:rsid w:val="005649AD"/>
    <w:rsid w:val="00564CC8"/>
    <w:rsid w:val="00564E46"/>
    <w:rsid w:val="00564EF2"/>
    <w:rsid w:val="00564F37"/>
    <w:rsid w:val="00565035"/>
    <w:rsid w:val="0056520F"/>
    <w:rsid w:val="0056542A"/>
    <w:rsid w:val="00565595"/>
    <w:rsid w:val="0056561D"/>
    <w:rsid w:val="0056569F"/>
    <w:rsid w:val="0056592B"/>
    <w:rsid w:val="00565B08"/>
    <w:rsid w:val="00565BAE"/>
    <w:rsid w:val="00566170"/>
    <w:rsid w:val="00566521"/>
    <w:rsid w:val="005665D6"/>
    <w:rsid w:val="00566610"/>
    <w:rsid w:val="005667E4"/>
    <w:rsid w:val="00566BA0"/>
    <w:rsid w:val="00566BCA"/>
    <w:rsid w:val="00566C7B"/>
    <w:rsid w:val="00566D23"/>
    <w:rsid w:val="00566F3B"/>
    <w:rsid w:val="00566F8C"/>
    <w:rsid w:val="00566FD6"/>
    <w:rsid w:val="00567040"/>
    <w:rsid w:val="00567056"/>
    <w:rsid w:val="0056719D"/>
    <w:rsid w:val="00567293"/>
    <w:rsid w:val="005672F1"/>
    <w:rsid w:val="005672F3"/>
    <w:rsid w:val="00567549"/>
    <w:rsid w:val="005678B5"/>
    <w:rsid w:val="00567A28"/>
    <w:rsid w:val="00567B40"/>
    <w:rsid w:val="00567CA9"/>
    <w:rsid w:val="00567CC7"/>
    <w:rsid w:val="00567D94"/>
    <w:rsid w:val="00567DE2"/>
    <w:rsid w:val="00570022"/>
    <w:rsid w:val="005704F5"/>
    <w:rsid w:val="00570655"/>
    <w:rsid w:val="00570A35"/>
    <w:rsid w:val="00570A4C"/>
    <w:rsid w:val="00570DA0"/>
    <w:rsid w:val="00570F63"/>
    <w:rsid w:val="00571464"/>
    <w:rsid w:val="0057198A"/>
    <w:rsid w:val="00571A48"/>
    <w:rsid w:val="00571A8B"/>
    <w:rsid w:val="00571ABF"/>
    <w:rsid w:val="00571B94"/>
    <w:rsid w:val="00571FAC"/>
    <w:rsid w:val="005720EF"/>
    <w:rsid w:val="0057231D"/>
    <w:rsid w:val="0057265D"/>
    <w:rsid w:val="0057278D"/>
    <w:rsid w:val="005728C0"/>
    <w:rsid w:val="00572D1B"/>
    <w:rsid w:val="00572DDA"/>
    <w:rsid w:val="00572E40"/>
    <w:rsid w:val="00573050"/>
    <w:rsid w:val="005734F9"/>
    <w:rsid w:val="0057366B"/>
    <w:rsid w:val="005737A6"/>
    <w:rsid w:val="00573BFC"/>
    <w:rsid w:val="00573C90"/>
    <w:rsid w:val="00573CF2"/>
    <w:rsid w:val="00573E6F"/>
    <w:rsid w:val="00573E8D"/>
    <w:rsid w:val="00573FEA"/>
    <w:rsid w:val="00574180"/>
    <w:rsid w:val="00574288"/>
    <w:rsid w:val="005744AD"/>
    <w:rsid w:val="00574500"/>
    <w:rsid w:val="005749AE"/>
    <w:rsid w:val="00574BB1"/>
    <w:rsid w:val="00574BBC"/>
    <w:rsid w:val="00574D1E"/>
    <w:rsid w:val="00574E75"/>
    <w:rsid w:val="00574FCA"/>
    <w:rsid w:val="005752FA"/>
    <w:rsid w:val="0057532D"/>
    <w:rsid w:val="00575434"/>
    <w:rsid w:val="00575576"/>
    <w:rsid w:val="00575666"/>
    <w:rsid w:val="005756B1"/>
    <w:rsid w:val="00575724"/>
    <w:rsid w:val="00575953"/>
    <w:rsid w:val="005759CF"/>
    <w:rsid w:val="00575C6B"/>
    <w:rsid w:val="00576117"/>
    <w:rsid w:val="0057615D"/>
    <w:rsid w:val="0057616A"/>
    <w:rsid w:val="00576939"/>
    <w:rsid w:val="005769A2"/>
    <w:rsid w:val="005769A9"/>
    <w:rsid w:val="005769DB"/>
    <w:rsid w:val="005769EE"/>
    <w:rsid w:val="005769EF"/>
    <w:rsid w:val="005769F7"/>
    <w:rsid w:val="00576B3F"/>
    <w:rsid w:val="00576F3F"/>
    <w:rsid w:val="00576FB5"/>
    <w:rsid w:val="00576FC1"/>
    <w:rsid w:val="00577158"/>
    <w:rsid w:val="00577256"/>
    <w:rsid w:val="0057728D"/>
    <w:rsid w:val="005775F2"/>
    <w:rsid w:val="00577798"/>
    <w:rsid w:val="00577B02"/>
    <w:rsid w:val="00577D2D"/>
    <w:rsid w:val="00577F84"/>
    <w:rsid w:val="00580152"/>
    <w:rsid w:val="0058025B"/>
    <w:rsid w:val="00580828"/>
    <w:rsid w:val="005808F8"/>
    <w:rsid w:val="00580D14"/>
    <w:rsid w:val="00580F5D"/>
    <w:rsid w:val="00580F6A"/>
    <w:rsid w:val="00581110"/>
    <w:rsid w:val="00581242"/>
    <w:rsid w:val="00581316"/>
    <w:rsid w:val="0058134D"/>
    <w:rsid w:val="005817CE"/>
    <w:rsid w:val="005818F8"/>
    <w:rsid w:val="00581BCB"/>
    <w:rsid w:val="00581CC0"/>
    <w:rsid w:val="00581D2B"/>
    <w:rsid w:val="0058219F"/>
    <w:rsid w:val="005822A0"/>
    <w:rsid w:val="005822BA"/>
    <w:rsid w:val="005823FF"/>
    <w:rsid w:val="005824B8"/>
    <w:rsid w:val="00582695"/>
    <w:rsid w:val="005827D2"/>
    <w:rsid w:val="0058288E"/>
    <w:rsid w:val="00582934"/>
    <w:rsid w:val="005829C2"/>
    <w:rsid w:val="00582B31"/>
    <w:rsid w:val="00582B84"/>
    <w:rsid w:val="00582BCE"/>
    <w:rsid w:val="00582CDF"/>
    <w:rsid w:val="00582CF2"/>
    <w:rsid w:val="00582DBE"/>
    <w:rsid w:val="00582E89"/>
    <w:rsid w:val="005830DA"/>
    <w:rsid w:val="005831A3"/>
    <w:rsid w:val="00583313"/>
    <w:rsid w:val="0058333F"/>
    <w:rsid w:val="005833B2"/>
    <w:rsid w:val="005838C9"/>
    <w:rsid w:val="00583AB4"/>
    <w:rsid w:val="00583C8D"/>
    <w:rsid w:val="00583DC0"/>
    <w:rsid w:val="0058423A"/>
    <w:rsid w:val="00584488"/>
    <w:rsid w:val="005844EE"/>
    <w:rsid w:val="00584AA5"/>
    <w:rsid w:val="00584C18"/>
    <w:rsid w:val="00584C61"/>
    <w:rsid w:val="00584C71"/>
    <w:rsid w:val="00584D66"/>
    <w:rsid w:val="00584F32"/>
    <w:rsid w:val="00584F62"/>
    <w:rsid w:val="005852BD"/>
    <w:rsid w:val="00585442"/>
    <w:rsid w:val="005858E6"/>
    <w:rsid w:val="00585BB6"/>
    <w:rsid w:val="00585BBE"/>
    <w:rsid w:val="00585C67"/>
    <w:rsid w:val="00585D51"/>
    <w:rsid w:val="00585F82"/>
    <w:rsid w:val="0058601B"/>
    <w:rsid w:val="00586291"/>
    <w:rsid w:val="005862F5"/>
    <w:rsid w:val="00586510"/>
    <w:rsid w:val="0058660A"/>
    <w:rsid w:val="00586762"/>
    <w:rsid w:val="005867C1"/>
    <w:rsid w:val="00586894"/>
    <w:rsid w:val="00586A69"/>
    <w:rsid w:val="00586B9D"/>
    <w:rsid w:val="00586C9E"/>
    <w:rsid w:val="00587172"/>
    <w:rsid w:val="005875DB"/>
    <w:rsid w:val="005878E3"/>
    <w:rsid w:val="00587A57"/>
    <w:rsid w:val="00587AEA"/>
    <w:rsid w:val="00587C3E"/>
    <w:rsid w:val="00587C48"/>
    <w:rsid w:val="00587C72"/>
    <w:rsid w:val="00587CEE"/>
    <w:rsid w:val="00587E7D"/>
    <w:rsid w:val="005901EB"/>
    <w:rsid w:val="005906CE"/>
    <w:rsid w:val="0059075B"/>
    <w:rsid w:val="0059076F"/>
    <w:rsid w:val="005907AE"/>
    <w:rsid w:val="00590BB8"/>
    <w:rsid w:val="00590C35"/>
    <w:rsid w:val="00590C92"/>
    <w:rsid w:val="00590CE8"/>
    <w:rsid w:val="00590DCE"/>
    <w:rsid w:val="00590E65"/>
    <w:rsid w:val="005911E7"/>
    <w:rsid w:val="0059121E"/>
    <w:rsid w:val="00591241"/>
    <w:rsid w:val="0059135C"/>
    <w:rsid w:val="005913BF"/>
    <w:rsid w:val="00591499"/>
    <w:rsid w:val="00591578"/>
    <w:rsid w:val="005918B4"/>
    <w:rsid w:val="00591DE2"/>
    <w:rsid w:val="00591E74"/>
    <w:rsid w:val="005920F2"/>
    <w:rsid w:val="005925D6"/>
    <w:rsid w:val="005926E1"/>
    <w:rsid w:val="005927B7"/>
    <w:rsid w:val="005928F8"/>
    <w:rsid w:val="005929C4"/>
    <w:rsid w:val="00592CA9"/>
    <w:rsid w:val="00592DB4"/>
    <w:rsid w:val="005931B1"/>
    <w:rsid w:val="00593689"/>
    <w:rsid w:val="00593976"/>
    <w:rsid w:val="00593A39"/>
    <w:rsid w:val="00593D0C"/>
    <w:rsid w:val="005943B4"/>
    <w:rsid w:val="00594586"/>
    <w:rsid w:val="00594707"/>
    <w:rsid w:val="00594CFC"/>
    <w:rsid w:val="00594D2F"/>
    <w:rsid w:val="00594DCC"/>
    <w:rsid w:val="00594E0A"/>
    <w:rsid w:val="00594EDB"/>
    <w:rsid w:val="00595359"/>
    <w:rsid w:val="0059541D"/>
    <w:rsid w:val="005954E6"/>
    <w:rsid w:val="00595695"/>
    <w:rsid w:val="0059591F"/>
    <w:rsid w:val="00595B14"/>
    <w:rsid w:val="00595B29"/>
    <w:rsid w:val="00595C02"/>
    <w:rsid w:val="00595FA1"/>
    <w:rsid w:val="0059647D"/>
    <w:rsid w:val="00596528"/>
    <w:rsid w:val="005967BC"/>
    <w:rsid w:val="00596BB9"/>
    <w:rsid w:val="00596C7C"/>
    <w:rsid w:val="005973C4"/>
    <w:rsid w:val="00597512"/>
    <w:rsid w:val="005975C2"/>
    <w:rsid w:val="005979EB"/>
    <w:rsid w:val="00597B00"/>
    <w:rsid w:val="00597BC1"/>
    <w:rsid w:val="005A01A7"/>
    <w:rsid w:val="005A03AE"/>
    <w:rsid w:val="005A0443"/>
    <w:rsid w:val="005A0804"/>
    <w:rsid w:val="005A0A09"/>
    <w:rsid w:val="005A0CB3"/>
    <w:rsid w:val="005A0CB7"/>
    <w:rsid w:val="005A0DD8"/>
    <w:rsid w:val="005A0E74"/>
    <w:rsid w:val="005A101F"/>
    <w:rsid w:val="005A1052"/>
    <w:rsid w:val="005A114A"/>
    <w:rsid w:val="005A1210"/>
    <w:rsid w:val="005A1349"/>
    <w:rsid w:val="005A1587"/>
    <w:rsid w:val="005A15F3"/>
    <w:rsid w:val="005A2030"/>
    <w:rsid w:val="005A21DB"/>
    <w:rsid w:val="005A26C2"/>
    <w:rsid w:val="005A2829"/>
    <w:rsid w:val="005A2836"/>
    <w:rsid w:val="005A28F2"/>
    <w:rsid w:val="005A29BF"/>
    <w:rsid w:val="005A2C82"/>
    <w:rsid w:val="005A2C86"/>
    <w:rsid w:val="005A3173"/>
    <w:rsid w:val="005A347B"/>
    <w:rsid w:val="005A39C6"/>
    <w:rsid w:val="005A3A8C"/>
    <w:rsid w:val="005A3C8B"/>
    <w:rsid w:val="005A3E62"/>
    <w:rsid w:val="005A4095"/>
    <w:rsid w:val="005A442A"/>
    <w:rsid w:val="005A45D9"/>
    <w:rsid w:val="005A4747"/>
    <w:rsid w:val="005A4875"/>
    <w:rsid w:val="005A4995"/>
    <w:rsid w:val="005A4C2C"/>
    <w:rsid w:val="005A4ED6"/>
    <w:rsid w:val="005A4EE1"/>
    <w:rsid w:val="005A4F7B"/>
    <w:rsid w:val="005A526B"/>
    <w:rsid w:val="005A52BA"/>
    <w:rsid w:val="005A53D2"/>
    <w:rsid w:val="005A58DD"/>
    <w:rsid w:val="005A5BA2"/>
    <w:rsid w:val="005A61C9"/>
    <w:rsid w:val="005A61D7"/>
    <w:rsid w:val="005A64E3"/>
    <w:rsid w:val="005A65EE"/>
    <w:rsid w:val="005A67DC"/>
    <w:rsid w:val="005A6A15"/>
    <w:rsid w:val="005A6C1A"/>
    <w:rsid w:val="005A6C98"/>
    <w:rsid w:val="005A6CBD"/>
    <w:rsid w:val="005A6DDC"/>
    <w:rsid w:val="005A6E3C"/>
    <w:rsid w:val="005A7237"/>
    <w:rsid w:val="005A7313"/>
    <w:rsid w:val="005A7C15"/>
    <w:rsid w:val="005A7DD0"/>
    <w:rsid w:val="005A7ECD"/>
    <w:rsid w:val="005B0432"/>
    <w:rsid w:val="005B06F7"/>
    <w:rsid w:val="005B0868"/>
    <w:rsid w:val="005B093B"/>
    <w:rsid w:val="005B0B22"/>
    <w:rsid w:val="005B0CEE"/>
    <w:rsid w:val="005B0D3D"/>
    <w:rsid w:val="005B0F55"/>
    <w:rsid w:val="005B123A"/>
    <w:rsid w:val="005B1242"/>
    <w:rsid w:val="005B147E"/>
    <w:rsid w:val="005B14B5"/>
    <w:rsid w:val="005B1544"/>
    <w:rsid w:val="005B154E"/>
    <w:rsid w:val="005B15F2"/>
    <w:rsid w:val="005B1673"/>
    <w:rsid w:val="005B1A1A"/>
    <w:rsid w:val="005B1A84"/>
    <w:rsid w:val="005B1B5E"/>
    <w:rsid w:val="005B1D96"/>
    <w:rsid w:val="005B23B7"/>
    <w:rsid w:val="005B245F"/>
    <w:rsid w:val="005B2484"/>
    <w:rsid w:val="005B26A9"/>
    <w:rsid w:val="005B2738"/>
    <w:rsid w:val="005B2745"/>
    <w:rsid w:val="005B277B"/>
    <w:rsid w:val="005B2BF6"/>
    <w:rsid w:val="005B2DCB"/>
    <w:rsid w:val="005B2E63"/>
    <w:rsid w:val="005B32B9"/>
    <w:rsid w:val="005B32FC"/>
    <w:rsid w:val="005B33A9"/>
    <w:rsid w:val="005B37DF"/>
    <w:rsid w:val="005B3DDC"/>
    <w:rsid w:val="005B3EB2"/>
    <w:rsid w:val="005B3FAF"/>
    <w:rsid w:val="005B40CD"/>
    <w:rsid w:val="005B4129"/>
    <w:rsid w:val="005B425F"/>
    <w:rsid w:val="005B46A6"/>
    <w:rsid w:val="005B4A5B"/>
    <w:rsid w:val="005B4B57"/>
    <w:rsid w:val="005B4BFA"/>
    <w:rsid w:val="005B4CBF"/>
    <w:rsid w:val="005B5023"/>
    <w:rsid w:val="005B50BA"/>
    <w:rsid w:val="005B5162"/>
    <w:rsid w:val="005B5295"/>
    <w:rsid w:val="005B5649"/>
    <w:rsid w:val="005B583A"/>
    <w:rsid w:val="005B5B23"/>
    <w:rsid w:val="005B5BDB"/>
    <w:rsid w:val="005B5EBD"/>
    <w:rsid w:val="005B5ECC"/>
    <w:rsid w:val="005B5ED4"/>
    <w:rsid w:val="005B5F32"/>
    <w:rsid w:val="005B600B"/>
    <w:rsid w:val="005B609A"/>
    <w:rsid w:val="005B60DD"/>
    <w:rsid w:val="005B60F3"/>
    <w:rsid w:val="005B633A"/>
    <w:rsid w:val="005B63D9"/>
    <w:rsid w:val="005B64D7"/>
    <w:rsid w:val="005B6677"/>
    <w:rsid w:val="005B66DB"/>
    <w:rsid w:val="005B6763"/>
    <w:rsid w:val="005B6809"/>
    <w:rsid w:val="005B6C13"/>
    <w:rsid w:val="005B71BB"/>
    <w:rsid w:val="005B7290"/>
    <w:rsid w:val="005B72EB"/>
    <w:rsid w:val="005B781D"/>
    <w:rsid w:val="005B7D14"/>
    <w:rsid w:val="005B7DD7"/>
    <w:rsid w:val="005B7E24"/>
    <w:rsid w:val="005C02A2"/>
    <w:rsid w:val="005C02C3"/>
    <w:rsid w:val="005C0364"/>
    <w:rsid w:val="005C0438"/>
    <w:rsid w:val="005C049F"/>
    <w:rsid w:val="005C04EE"/>
    <w:rsid w:val="005C064C"/>
    <w:rsid w:val="005C07D9"/>
    <w:rsid w:val="005C0C47"/>
    <w:rsid w:val="005C0C98"/>
    <w:rsid w:val="005C0D3A"/>
    <w:rsid w:val="005C0EBD"/>
    <w:rsid w:val="005C1258"/>
    <w:rsid w:val="005C1293"/>
    <w:rsid w:val="005C12B1"/>
    <w:rsid w:val="005C1875"/>
    <w:rsid w:val="005C1940"/>
    <w:rsid w:val="005C1B28"/>
    <w:rsid w:val="005C1CBF"/>
    <w:rsid w:val="005C1D89"/>
    <w:rsid w:val="005C207E"/>
    <w:rsid w:val="005C214C"/>
    <w:rsid w:val="005C216B"/>
    <w:rsid w:val="005C21EA"/>
    <w:rsid w:val="005C2318"/>
    <w:rsid w:val="005C259B"/>
    <w:rsid w:val="005C259E"/>
    <w:rsid w:val="005C2771"/>
    <w:rsid w:val="005C279C"/>
    <w:rsid w:val="005C28E1"/>
    <w:rsid w:val="005C2A13"/>
    <w:rsid w:val="005C2A16"/>
    <w:rsid w:val="005C2BBC"/>
    <w:rsid w:val="005C2BE5"/>
    <w:rsid w:val="005C2C91"/>
    <w:rsid w:val="005C2CD7"/>
    <w:rsid w:val="005C2E0E"/>
    <w:rsid w:val="005C33A1"/>
    <w:rsid w:val="005C3993"/>
    <w:rsid w:val="005C3DEB"/>
    <w:rsid w:val="005C418D"/>
    <w:rsid w:val="005C41B1"/>
    <w:rsid w:val="005C436D"/>
    <w:rsid w:val="005C4395"/>
    <w:rsid w:val="005C480F"/>
    <w:rsid w:val="005C4864"/>
    <w:rsid w:val="005C486D"/>
    <w:rsid w:val="005C48AC"/>
    <w:rsid w:val="005C4984"/>
    <w:rsid w:val="005C4A96"/>
    <w:rsid w:val="005C4B66"/>
    <w:rsid w:val="005C4E90"/>
    <w:rsid w:val="005C50F3"/>
    <w:rsid w:val="005C510B"/>
    <w:rsid w:val="005C51EC"/>
    <w:rsid w:val="005C5200"/>
    <w:rsid w:val="005C52AD"/>
    <w:rsid w:val="005C52E6"/>
    <w:rsid w:val="005C55E4"/>
    <w:rsid w:val="005C5B65"/>
    <w:rsid w:val="005C5CFA"/>
    <w:rsid w:val="005C5ED7"/>
    <w:rsid w:val="005C5FB2"/>
    <w:rsid w:val="005C604A"/>
    <w:rsid w:val="005C61C8"/>
    <w:rsid w:val="005C61D9"/>
    <w:rsid w:val="005C6208"/>
    <w:rsid w:val="005C6479"/>
    <w:rsid w:val="005C6647"/>
    <w:rsid w:val="005C66FD"/>
    <w:rsid w:val="005C6706"/>
    <w:rsid w:val="005C688C"/>
    <w:rsid w:val="005C68B9"/>
    <w:rsid w:val="005C6B36"/>
    <w:rsid w:val="005C6E3F"/>
    <w:rsid w:val="005C6EC1"/>
    <w:rsid w:val="005C7056"/>
    <w:rsid w:val="005C709C"/>
    <w:rsid w:val="005C71C4"/>
    <w:rsid w:val="005C7248"/>
    <w:rsid w:val="005C72CA"/>
    <w:rsid w:val="005C735A"/>
    <w:rsid w:val="005C7385"/>
    <w:rsid w:val="005C7400"/>
    <w:rsid w:val="005C76B9"/>
    <w:rsid w:val="005C797F"/>
    <w:rsid w:val="005D013F"/>
    <w:rsid w:val="005D030B"/>
    <w:rsid w:val="005D03F7"/>
    <w:rsid w:val="005D0448"/>
    <w:rsid w:val="005D051A"/>
    <w:rsid w:val="005D066D"/>
    <w:rsid w:val="005D0A02"/>
    <w:rsid w:val="005D0A4D"/>
    <w:rsid w:val="005D0BC2"/>
    <w:rsid w:val="005D0BF8"/>
    <w:rsid w:val="005D0BF9"/>
    <w:rsid w:val="005D0F6E"/>
    <w:rsid w:val="005D100F"/>
    <w:rsid w:val="005D1047"/>
    <w:rsid w:val="005D1171"/>
    <w:rsid w:val="005D11D6"/>
    <w:rsid w:val="005D1258"/>
    <w:rsid w:val="005D1276"/>
    <w:rsid w:val="005D12A6"/>
    <w:rsid w:val="005D1371"/>
    <w:rsid w:val="005D13B5"/>
    <w:rsid w:val="005D14B8"/>
    <w:rsid w:val="005D1511"/>
    <w:rsid w:val="005D176D"/>
    <w:rsid w:val="005D18EF"/>
    <w:rsid w:val="005D196F"/>
    <w:rsid w:val="005D1AE6"/>
    <w:rsid w:val="005D1B37"/>
    <w:rsid w:val="005D1C1A"/>
    <w:rsid w:val="005D20CA"/>
    <w:rsid w:val="005D2121"/>
    <w:rsid w:val="005D2197"/>
    <w:rsid w:val="005D228F"/>
    <w:rsid w:val="005D238E"/>
    <w:rsid w:val="005D2663"/>
    <w:rsid w:val="005D282B"/>
    <w:rsid w:val="005D288F"/>
    <w:rsid w:val="005D2A39"/>
    <w:rsid w:val="005D2B4A"/>
    <w:rsid w:val="005D2BF4"/>
    <w:rsid w:val="005D2C84"/>
    <w:rsid w:val="005D2D61"/>
    <w:rsid w:val="005D2D78"/>
    <w:rsid w:val="005D2F7C"/>
    <w:rsid w:val="005D2F8D"/>
    <w:rsid w:val="005D3178"/>
    <w:rsid w:val="005D321E"/>
    <w:rsid w:val="005D32C1"/>
    <w:rsid w:val="005D339A"/>
    <w:rsid w:val="005D33F7"/>
    <w:rsid w:val="005D34F8"/>
    <w:rsid w:val="005D3795"/>
    <w:rsid w:val="005D3895"/>
    <w:rsid w:val="005D3BF9"/>
    <w:rsid w:val="005D3CCF"/>
    <w:rsid w:val="005D40BB"/>
    <w:rsid w:val="005D463F"/>
    <w:rsid w:val="005D467B"/>
    <w:rsid w:val="005D49B3"/>
    <w:rsid w:val="005D4A6A"/>
    <w:rsid w:val="005D4BFA"/>
    <w:rsid w:val="005D4E4B"/>
    <w:rsid w:val="005D4F94"/>
    <w:rsid w:val="005D5328"/>
    <w:rsid w:val="005D5420"/>
    <w:rsid w:val="005D55EE"/>
    <w:rsid w:val="005D5762"/>
    <w:rsid w:val="005D5769"/>
    <w:rsid w:val="005D5823"/>
    <w:rsid w:val="005D58AE"/>
    <w:rsid w:val="005D5F2D"/>
    <w:rsid w:val="005D602B"/>
    <w:rsid w:val="005D616A"/>
    <w:rsid w:val="005D637E"/>
    <w:rsid w:val="005D648C"/>
    <w:rsid w:val="005D649F"/>
    <w:rsid w:val="005D65D2"/>
    <w:rsid w:val="005D671C"/>
    <w:rsid w:val="005D681C"/>
    <w:rsid w:val="005D6A86"/>
    <w:rsid w:val="005D6EC4"/>
    <w:rsid w:val="005D6EF1"/>
    <w:rsid w:val="005D6F3C"/>
    <w:rsid w:val="005D70D9"/>
    <w:rsid w:val="005D70E0"/>
    <w:rsid w:val="005D7365"/>
    <w:rsid w:val="005D7481"/>
    <w:rsid w:val="005D7764"/>
    <w:rsid w:val="005D77B1"/>
    <w:rsid w:val="005D7822"/>
    <w:rsid w:val="005D79CD"/>
    <w:rsid w:val="005D7B48"/>
    <w:rsid w:val="005D7BCF"/>
    <w:rsid w:val="005D7D65"/>
    <w:rsid w:val="005D7F06"/>
    <w:rsid w:val="005D7F68"/>
    <w:rsid w:val="005E0014"/>
    <w:rsid w:val="005E00CC"/>
    <w:rsid w:val="005E0198"/>
    <w:rsid w:val="005E02F5"/>
    <w:rsid w:val="005E032C"/>
    <w:rsid w:val="005E051B"/>
    <w:rsid w:val="005E0633"/>
    <w:rsid w:val="005E0AA4"/>
    <w:rsid w:val="005E1087"/>
    <w:rsid w:val="005E11EA"/>
    <w:rsid w:val="005E11F3"/>
    <w:rsid w:val="005E1938"/>
    <w:rsid w:val="005E19C2"/>
    <w:rsid w:val="005E19D1"/>
    <w:rsid w:val="005E1A77"/>
    <w:rsid w:val="005E1AAD"/>
    <w:rsid w:val="005E1D30"/>
    <w:rsid w:val="005E1DCE"/>
    <w:rsid w:val="005E2204"/>
    <w:rsid w:val="005E2603"/>
    <w:rsid w:val="005E29EF"/>
    <w:rsid w:val="005E2A20"/>
    <w:rsid w:val="005E2AC8"/>
    <w:rsid w:val="005E2AE5"/>
    <w:rsid w:val="005E2B7C"/>
    <w:rsid w:val="005E2DAD"/>
    <w:rsid w:val="005E2EAC"/>
    <w:rsid w:val="005E329D"/>
    <w:rsid w:val="005E3648"/>
    <w:rsid w:val="005E3793"/>
    <w:rsid w:val="005E396A"/>
    <w:rsid w:val="005E3CCE"/>
    <w:rsid w:val="005E3CDA"/>
    <w:rsid w:val="005E3F65"/>
    <w:rsid w:val="005E3FBA"/>
    <w:rsid w:val="005E3FEF"/>
    <w:rsid w:val="005E412C"/>
    <w:rsid w:val="005E43F0"/>
    <w:rsid w:val="005E4BB8"/>
    <w:rsid w:val="005E4E72"/>
    <w:rsid w:val="005E4EA1"/>
    <w:rsid w:val="005E4EF4"/>
    <w:rsid w:val="005E4F79"/>
    <w:rsid w:val="005E53A5"/>
    <w:rsid w:val="005E5676"/>
    <w:rsid w:val="005E5803"/>
    <w:rsid w:val="005E598B"/>
    <w:rsid w:val="005E663A"/>
    <w:rsid w:val="005E6652"/>
    <w:rsid w:val="005E671E"/>
    <w:rsid w:val="005E6751"/>
    <w:rsid w:val="005E690C"/>
    <w:rsid w:val="005E6A0A"/>
    <w:rsid w:val="005E6B05"/>
    <w:rsid w:val="005E6BE1"/>
    <w:rsid w:val="005E6C0F"/>
    <w:rsid w:val="005E6D2D"/>
    <w:rsid w:val="005E6D90"/>
    <w:rsid w:val="005E6E5F"/>
    <w:rsid w:val="005E6F76"/>
    <w:rsid w:val="005E6F81"/>
    <w:rsid w:val="005E6F85"/>
    <w:rsid w:val="005E6FCC"/>
    <w:rsid w:val="005E71FA"/>
    <w:rsid w:val="005E73AD"/>
    <w:rsid w:val="005E74CD"/>
    <w:rsid w:val="005E7622"/>
    <w:rsid w:val="005E7756"/>
    <w:rsid w:val="005E78BE"/>
    <w:rsid w:val="005E7A0E"/>
    <w:rsid w:val="005E7DBD"/>
    <w:rsid w:val="005E7DCF"/>
    <w:rsid w:val="005E7F32"/>
    <w:rsid w:val="005F02D5"/>
    <w:rsid w:val="005F0609"/>
    <w:rsid w:val="005F07F3"/>
    <w:rsid w:val="005F0B68"/>
    <w:rsid w:val="005F0F46"/>
    <w:rsid w:val="005F1116"/>
    <w:rsid w:val="005F134D"/>
    <w:rsid w:val="005F138C"/>
    <w:rsid w:val="005F157D"/>
    <w:rsid w:val="005F1822"/>
    <w:rsid w:val="005F1ADC"/>
    <w:rsid w:val="005F1B54"/>
    <w:rsid w:val="005F1BBE"/>
    <w:rsid w:val="005F1BC8"/>
    <w:rsid w:val="005F1CA3"/>
    <w:rsid w:val="005F1DFF"/>
    <w:rsid w:val="005F1E15"/>
    <w:rsid w:val="005F1E4C"/>
    <w:rsid w:val="005F21B6"/>
    <w:rsid w:val="005F223B"/>
    <w:rsid w:val="005F23D2"/>
    <w:rsid w:val="005F27D6"/>
    <w:rsid w:val="005F2805"/>
    <w:rsid w:val="005F293E"/>
    <w:rsid w:val="005F2BDF"/>
    <w:rsid w:val="005F2CB7"/>
    <w:rsid w:val="005F2FBF"/>
    <w:rsid w:val="005F30AD"/>
    <w:rsid w:val="005F30B1"/>
    <w:rsid w:val="005F3667"/>
    <w:rsid w:val="005F3682"/>
    <w:rsid w:val="005F3B15"/>
    <w:rsid w:val="005F3C5C"/>
    <w:rsid w:val="005F4333"/>
    <w:rsid w:val="005F459B"/>
    <w:rsid w:val="005F48A2"/>
    <w:rsid w:val="005F4AFF"/>
    <w:rsid w:val="005F4B74"/>
    <w:rsid w:val="005F4CEE"/>
    <w:rsid w:val="005F4D2A"/>
    <w:rsid w:val="005F52CA"/>
    <w:rsid w:val="005F577A"/>
    <w:rsid w:val="005F5953"/>
    <w:rsid w:val="005F5B44"/>
    <w:rsid w:val="005F5C91"/>
    <w:rsid w:val="005F5D8D"/>
    <w:rsid w:val="005F5E3E"/>
    <w:rsid w:val="005F60AF"/>
    <w:rsid w:val="005F6264"/>
    <w:rsid w:val="005F6470"/>
    <w:rsid w:val="005F649C"/>
    <w:rsid w:val="005F654F"/>
    <w:rsid w:val="005F6681"/>
    <w:rsid w:val="005F669E"/>
    <w:rsid w:val="005F6935"/>
    <w:rsid w:val="005F69D9"/>
    <w:rsid w:val="005F6CB8"/>
    <w:rsid w:val="005F715D"/>
    <w:rsid w:val="005F73AF"/>
    <w:rsid w:val="005F7475"/>
    <w:rsid w:val="005F77D2"/>
    <w:rsid w:val="005F7910"/>
    <w:rsid w:val="005F7ACD"/>
    <w:rsid w:val="005F7B7E"/>
    <w:rsid w:val="005F7BEB"/>
    <w:rsid w:val="005F7CB8"/>
    <w:rsid w:val="005F7D69"/>
    <w:rsid w:val="00600174"/>
    <w:rsid w:val="006001EA"/>
    <w:rsid w:val="0060025A"/>
    <w:rsid w:val="0060035E"/>
    <w:rsid w:val="006005DB"/>
    <w:rsid w:val="00600633"/>
    <w:rsid w:val="00600D84"/>
    <w:rsid w:val="00600F1C"/>
    <w:rsid w:val="00600F54"/>
    <w:rsid w:val="00601155"/>
    <w:rsid w:val="00601201"/>
    <w:rsid w:val="00601277"/>
    <w:rsid w:val="00601488"/>
    <w:rsid w:val="00601546"/>
    <w:rsid w:val="00601A32"/>
    <w:rsid w:val="00601BDE"/>
    <w:rsid w:val="006023F3"/>
    <w:rsid w:val="00602578"/>
    <w:rsid w:val="00602809"/>
    <w:rsid w:val="0060291A"/>
    <w:rsid w:val="00602A77"/>
    <w:rsid w:val="00602E0E"/>
    <w:rsid w:val="00602E99"/>
    <w:rsid w:val="00602F8C"/>
    <w:rsid w:val="00603028"/>
    <w:rsid w:val="006030A6"/>
    <w:rsid w:val="00603851"/>
    <w:rsid w:val="006038A0"/>
    <w:rsid w:val="00603AB5"/>
    <w:rsid w:val="00603CAC"/>
    <w:rsid w:val="00603DF9"/>
    <w:rsid w:val="00603F72"/>
    <w:rsid w:val="00604004"/>
    <w:rsid w:val="0060406B"/>
    <w:rsid w:val="00604172"/>
    <w:rsid w:val="00604331"/>
    <w:rsid w:val="006043D5"/>
    <w:rsid w:val="006044FB"/>
    <w:rsid w:val="00604653"/>
    <w:rsid w:val="006047BF"/>
    <w:rsid w:val="00604956"/>
    <w:rsid w:val="00604B23"/>
    <w:rsid w:val="0060532D"/>
    <w:rsid w:val="0060534C"/>
    <w:rsid w:val="006054E2"/>
    <w:rsid w:val="006058C0"/>
    <w:rsid w:val="0060593D"/>
    <w:rsid w:val="006059A9"/>
    <w:rsid w:val="0060613B"/>
    <w:rsid w:val="00606637"/>
    <w:rsid w:val="0060685C"/>
    <w:rsid w:val="00606936"/>
    <w:rsid w:val="00606C84"/>
    <w:rsid w:val="00606D00"/>
    <w:rsid w:val="00606EA2"/>
    <w:rsid w:val="00606ED0"/>
    <w:rsid w:val="00606FBA"/>
    <w:rsid w:val="006070DD"/>
    <w:rsid w:val="00607164"/>
    <w:rsid w:val="006072F6"/>
    <w:rsid w:val="0060739D"/>
    <w:rsid w:val="006074F9"/>
    <w:rsid w:val="006076A0"/>
    <w:rsid w:val="00607794"/>
    <w:rsid w:val="006079DD"/>
    <w:rsid w:val="00607A21"/>
    <w:rsid w:val="00607D51"/>
    <w:rsid w:val="00607DC3"/>
    <w:rsid w:val="006104A0"/>
    <w:rsid w:val="00610724"/>
    <w:rsid w:val="00610A01"/>
    <w:rsid w:val="00610BDD"/>
    <w:rsid w:val="00610CD6"/>
    <w:rsid w:val="00610D10"/>
    <w:rsid w:val="00610E4A"/>
    <w:rsid w:val="00610E7E"/>
    <w:rsid w:val="00610F31"/>
    <w:rsid w:val="00610F4E"/>
    <w:rsid w:val="006110C2"/>
    <w:rsid w:val="00611143"/>
    <w:rsid w:val="00611266"/>
    <w:rsid w:val="0061138D"/>
    <w:rsid w:val="006114A2"/>
    <w:rsid w:val="0061181A"/>
    <w:rsid w:val="00611988"/>
    <w:rsid w:val="00611A60"/>
    <w:rsid w:val="00611BD9"/>
    <w:rsid w:val="00611BEB"/>
    <w:rsid w:val="00611CA1"/>
    <w:rsid w:val="00611D07"/>
    <w:rsid w:val="00611D54"/>
    <w:rsid w:val="00611E72"/>
    <w:rsid w:val="00611FD1"/>
    <w:rsid w:val="00612358"/>
    <w:rsid w:val="00612451"/>
    <w:rsid w:val="006124DD"/>
    <w:rsid w:val="00612812"/>
    <w:rsid w:val="006129A9"/>
    <w:rsid w:val="006129D0"/>
    <w:rsid w:val="00612AF0"/>
    <w:rsid w:val="00612D02"/>
    <w:rsid w:val="00612E95"/>
    <w:rsid w:val="00612F46"/>
    <w:rsid w:val="006131C4"/>
    <w:rsid w:val="00613616"/>
    <w:rsid w:val="00613901"/>
    <w:rsid w:val="00613905"/>
    <w:rsid w:val="0061393D"/>
    <w:rsid w:val="00613F54"/>
    <w:rsid w:val="006140B7"/>
    <w:rsid w:val="0061419E"/>
    <w:rsid w:val="006142B8"/>
    <w:rsid w:val="0061436F"/>
    <w:rsid w:val="006145A3"/>
    <w:rsid w:val="0061464D"/>
    <w:rsid w:val="00614962"/>
    <w:rsid w:val="00614965"/>
    <w:rsid w:val="006149DA"/>
    <w:rsid w:val="00614BD8"/>
    <w:rsid w:val="00614DCF"/>
    <w:rsid w:val="00614F84"/>
    <w:rsid w:val="00615170"/>
    <w:rsid w:val="00615261"/>
    <w:rsid w:val="0061534A"/>
    <w:rsid w:val="006153F5"/>
    <w:rsid w:val="00615578"/>
    <w:rsid w:val="00615B63"/>
    <w:rsid w:val="00615BEC"/>
    <w:rsid w:val="00615C0E"/>
    <w:rsid w:val="00615C6B"/>
    <w:rsid w:val="00615F67"/>
    <w:rsid w:val="00615F72"/>
    <w:rsid w:val="0061601C"/>
    <w:rsid w:val="00616401"/>
    <w:rsid w:val="00616623"/>
    <w:rsid w:val="0061663E"/>
    <w:rsid w:val="00616734"/>
    <w:rsid w:val="00616776"/>
    <w:rsid w:val="00616968"/>
    <w:rsid w:val="00616D5A"/>
    <w:rsid w:val="00616F0C"/>
    <w:rsid w:val="00617049"/>
    <w:rsid w:val="00617074"/>
    <w:rsid w:val="0061727A"/>
    <w:rsid w:val="00617354"/>
    <w:rsid w:val="0061737F"/>
    <w:rsid w:val="00617393"/>
    <w:rsid w:val="006176AB"/>
    <w:rsid w:val="00617721"/>
    <w:rsid w:val="00617758"/>
    <w:rsid w:val="00617B77"/>
    <w:rsid w:val="00617B7E"/>
    <w:rsid w:val="00617F0F"/>
    <w:rsid w:val="00617F2A"/>
    <w:rsid w:val="006201D0"/>
    <w:rsid w:val="0062030D"/>
    <w:rsid w:val="00620449"/>
    <w:rsid w:val="00620451"/>
    <w:rsid w:val="006205DA"/>
    <w:rsid w:val="006207F1"/>
    <w:rsid w:val="00620983"/>
    <w:rsid w:val="006209BD"/>
    <w:rsid w:val="00620A7F"/>
    <w:rsid w:val="00620A83"/>
    <w:rsid w:val="00620D4B"/>
    <w:rsid w:val="006210AC"/>
    <w:rsid w:val="00621402"/>
    <w:rsid w:val="00621D61"/>
    <w:rsid w:val="00621E5E"/>
    <w:rsid w:val="00621F0A"/>
    <w:rsid w:val="006225DD"/>
    <w:rsid w:val="006228D2"/>
    <w:rsid w:val="006229CC"/>
    <w:rsid w:val="00622A59"/>
    <w:rsid w:val="00622ABF"/>
    <w:rsid w:val="00622B53"/>
    <w:rsid w:val="00622BCB"/>
    <w:rsid w:val="00622F41"/>
    <w:rsid w:val="00623021"/>
    <w:rsid w:val="00623226"/>
    <w:rsid w:val="00623245"/>
    <w:rsid w:val="00623401"/>
    <w:rsid w:val="00623583"/>
    <w:rsid w:val="0062368E"/>
    <w:rsid w:val="00623702"/>
    <w:rsid w:val="006238BE"/>
    <w:rsid w:val="00623A1B"/>
    <w:rsid w:val="00623BDE"/>
    <w:rsid w:val="00623CBB"/>
    <w:rsid w:val="00623E94"/>
    <w:rsid w:val="00623E9C"/>
    <w:rsid w:val="00623EBB"/>
    <w:rsid w:val="00623FE3"/>
    <w:rsid w:val="0062418D"/>
    <w:rsid w:val="0062438B"/>
    <w:rsid w:val="00624645"/>
    <w:rsid w:val="00624681"/>
    <w:rsid w:val="006246C2"/>
    <w:rsid w:val="00624CBE"/>
    <w:rsid w:val="00624D24"/>
    <w:rsid w:val="00624F28"/>
    <w:rsid w:val="006251A5"/>
    <w:rsid w:val="006253C9"/>
    <w:rsid w:val="0062558D"/>
    <w:rsid w:val="00625621"/>
    <w:rsid w:val="006259E5"/>
    <w:rsid w:val="00625BA6"/>
    <w:rsid w:val="00625E63"/>
    <w:rsid w:val="00625E91"/>
    <w:rsid w:val="00626070"/>
    <w:rsid w:val="006261AC"/>
    <w:rsid w:val="00626905"/>
    <w:rsid w:val="0062698B"/>
    <w:rsid w:val="00626F36"/>
    <w:rsid w:val="0062700A"/>
    <w:rsid w:val="00627224"/>
    <w:rsid w:val="00627369"/>
    <w:rsid w:val="006273AE"/>
    <w:rsid w:val="006274DF"/>
    <w:rsid w:val="006277F5"/>
    <w:rsid w:val="00627B88"/>
    <w:rsid w:val="00627EE0"/>
    <w:rsid w:val="006300F2"/>
    <w:rsid w:val="00630311"/>
    <w:rsid w:val="00630422"/>
    <w:rsid w:val="0063044A"/>
    <w:rsid w:val="006306B6"/>
    <w:rsid w:val="00630992"/>
    <w:rsid w:val="00630BCA"/>
    <w:rsid w:val="00630CEA"/>
    <w:rsid w:val="00630E63"/>
    <w:rsid w:val="00630E6F"/>
    <w:rsid w:val="00630FE6"/>
    <w:rsid w:val="00631188"/>
    <w:rsid w:val="006311ED"/>
    <w:rsid w:val="0063129A"/>
    <w:rsid w:val="0063131E"/>
    <w:rsid w:val="00631385"/>
    <w:rsid w:val="00631BDC"/>
    <w:rsid w:val="00631DA0"/>
    <w:rsid w:val="00632436"/>
    <w:rsid w:val="00632749"/>
    <w:rsid w:val="006329FA"/>
    <w:rsid w:val="00632ACF"/>
    <w:rsid w:val="00632AE5"/>
    <w:rsid w:val="00632AF5"/>
    <w:rsid w:val="00632B2F"/>
    <w:rsid w:val="00632D89"/>
    <w:rsid w:val="00633384"/>
    <w:rsid w:val="0063341E"/>
    <w:rsid w:val="00633446"/>
    <w:rsid w:val="006334F2"/>
    <w:rsid w:val="00633A0A"/>
    <w:rsid w:val="00633A5C"/>
    <w:rsid w:val="00633ADF"/>
    <w:rsid w:val="00633DD7"/>
    <w:rsid w:val="00633ED6"/>
    <w:rsid w:val="00634084"/>
    <w:rsid w:val="0063408C"/>
    <w:rsid w:val="006340D7"/>
    <w:rsid w:val="00634331"/>
    <w:rsid w:val="006346F8"/>
    <w:rsid w:val="006347B0"/>
    <w:rsid w:val="006348E0"/>
    <w:rsid w:val="006348E6"/>
    <w:rsid w:val="00634C96"/>
    <w:rsid w:val="00634FB3"/>
    <w:rsid w:val="0063502D"/>
    <w:rsid w:val="0063537A"/>
    <w:rsid w:val="006355DE"/>
    <w:rsid w:val="006358FF"/>
    <w:rsid w:val="00635ABA"/>
    <w:rsid w:val="00635E7C"/>
    <w:rsid w:val="00635E84"/>
    <w:rsid w:val="00635E9A"/>
    <w:rsid w:val="006360D3"/>
    <w:rsid w:val="00636257"/>
    <w:rsid w:val="00636297"/>
    <w:rsid w:val="006362AA"/>
    <w:rsid w:val="0063634B"/>
    <w:rsid w:val="006364AE"/>
    <w:rsid w:val="0063659C"/>
    <w:rsid w:val="00636821"/>
    <w:rsid w:val="00637095"/>
    <w:rsid w:val="006371B0"/>
    <w:rsid w:val="006376A5"/>
    <w:rsid w:val="006376F0"/>
    <w:rsid w:val="00637BB7"/>
    <w:rsid w:val="00637FA0"/>
    <w:rsid w:val="00637FBC"/>
    <w:rsid w:val="00640354"/>
    <w:rsid w:val="006405CD"/>
    <w:rsid w:val="006407CE"/>
    <w:rsid w:val="00640840"/>
    <w:rsid w:val="006409F6"/>
    <w:rsid w:val="00640B3D"/>
    <w:rsid w:val="0064101F"/>
    <w:rsid w:val="006410EA"/>
    <w:rsid w:val="006412B5"/>
    <w:rsid w:val="00641603"/>
    <w:rsid w:val="006419B0"/>
    <w:rsid w:val="00641EB2"/>
    <w:rsid w:val="0064207F"/>
    <w:rsid w:val="006421C1"/>
    <w:rsid w:val="0064227B"/>
    <w:rsid w:val="006422BC"/>
    <w:rsid w:val="006422DA"/>
    <w:rsid w:val="0064236C"/>
    <w:rsid w:val="0064239C"/>
    <w:rsid w:val="006425FD"/>
    <w:rsid w:val="006426F3"/>
    <w:rsid w:val="00642827"/>
    <w:rsid w:val="00642973"/>
    <w:rsid w:val="00642CB2"/>
    <w:rsid w:val="00642F29"/>
    <w:rsid w:val="0064314F"/>
    <w:rsid w:val="00643156"/>
    <w:rsid w:val="00643285"/>
    <w:rsid w:val="00643650"/>
    <w:rsid w:val="00643853"/>
    <w:rsid w:val="00643995"/>
    <w:rsid w:val="00643B49"/>
    <w:rsid w:val="00643D74"/>
    <w:rsid w:val="00643DA6"/>
    <w:rsid w:val="00643ED1"/>
    <w:rsid w:val="0064401A"/>
    <w:rsid w:val="00644097"/>
    <w:rsid w:val="006441DF"/>
    <w:rsid w:val="00644334"/>
    <w:rsid w:val="00644756"/>
    <w:rsid w:val="00644964"/>
    <w:rsid w:val="00644A04"/>
    <w:rsid w:val="00644C2C"/>
    <w:rsid w:val="00644D61"/>
    <w:rsid w:val="00644F62"/>
    <w:rsid w:val="0064506D"/>
    <w:rsid w:val="006450E2"/>
    <w:rsid w:val="006451B3"/>
    <w:rsid w:val="006452B8"/>
    <w:rsid w:val="0064530E"/>
    <w:rsid w:val="0064542B"/>
    <w:rsid w:val="00645461"/>
    <w:rsid w:val="00645545"/>
    <w:rsid w:val="006456AC"/>
    <w:rsid w:val="00645738"/>
    <w:rsid w:val="00645800"/>
    <w:rsid w:val="00645A2A"/>
    <w:rsid w:val="00645A9F"/>
    <w:rsid w:val="00645BE7"/>
    <w:rsid w:val="0064618B"/>
    <w:rsid w:val="00646422"/>
    <w:rsid w:val="00646446"/>
    <w:rsid w:val="006464D9"/>
    <w:rsid w:val="0064663D"/>
    <w:rsid w:val="00646644"/>
    <w:rsid w:val="00646647"/>
    <w:rsid w:val="0064690E"/>
    <w:rsid w:val="0064692C"/>
    <w:rsid w:val="00646978"/>
    <w:rsid w:val="006469F6"/>
    <w:rsid w:val="00646D0A"/>
    <w:rsid w:val="00646D13"/>
    <w:rsid w:val="00646D54"/>
    <w:rsid w:val="00647081"/>
    <w:rsid w:val="0064708F"/>
    <w:rsid w:val="00647198"/>
    <w:rsid w:val="00647297"/>
    <w:rsid w:val="00647396"/>
    <w:rsid w:val="00647399"/>
    <w:rsid w:val="00647681"/>
    <w:rsid w:val="00647853"/>
    <w:rsid w:val="00647962"/>
    <w:rsid w:val="00647CA5"/>
    <w:rsid w:val="00647F2B"/>
    <w:rsid w:val="0065003C"/>
    <w:rsid w:val="0065007E"/>
    <w:rsid w:val="0065009D"/>
    <w:rsid w:val="006500E6"/>
    <w:rsid w:val="00650110"/>
    <w:rsid w:val="00650159"/>
    <w:rsid w:val="00650199"/>
    <w:rsid w:val="006501C2"/>
    <w:rsid w:val="006502D5"/>
    <w:rsid w:val="006505F5"/>
    <w:rsid w:val="0065064B"/>
    <w:rsid w:val="0065065D"/>
    <w:rsid w:val="0065089A"/>
    <w:rsid w:val="006509E7"/>
    <w:rsid w:val="00651225"/>
    <w:rsid w:val="00651335"/>
    <w:rsid w:val="00651427"/>
    <w:rsid w:val="00651938"/>
    <w:rsid w:val="00651CFC"/>
    <w:rsid w:val="00651D0D"/>
    <w:rsid w:val="00651E7C"/>
    <w:rsid w:val="00652125"/>
    <w:rsid w:val="00652513"/>
    <w:rsid w:val="00652A21"/>
    <w:rsid w:val="00652B36"/>
    <w:rsid w:val="00652BAE"/>
    <w:rsid w:val="00652CE0"/>
    <w:rsid w:val="00652D66"/>
    <w:rsid w:val="00652E6E"/>
    <w:rsid w:val="00652F1F"/>
    <w:rsid w:val="006533D4"/>
    <w:rsid w:val="00653C27"/>
    <w:rsid w:val="00653CF8"/>
    <w:rsid w:val="0065406B"/>
    <w:rsid w:val="0065415F"/>
    <w:rsid w:val="00654196"/>
    <w:rsid w:val="006541D5"/>
    <w:rsid w:val="00654533"/>
    <w:rsid w:val="00654690"/>
    <w:rsid w:val="00654768"/>
    <w:rsid w:val="00654973"/>
    <w:rsid w:val="00654A13"/>
    <w:rsid w:val="00654CED"/>
    <w:rsid w:val="006550D5"/>
    <w:rsid w:val="00655572"/>
    <w:rsid w:val="0065564B"/>
    <w:rsid w:val="00655693"/>
    <w:rsid w:val="0065573F"/>
    <w:rsid w:val="0065586B"/>
    <w:rsid w:val="00655BD1"/>
    <w:rsid w:val="00655CE2"/>
    <w:rsid w:val="0065603E"/>
    <w:rsid w:val="0065633C"/>
    <w:rsid w:val="00656366"/>
    <w:rsid w:val="00656533"/>
    <w:rsid w:val="00656678"/>
    <w:rsid w:val="0065669E"/>
    <w:rsid w:val="006569D4"/>
    <w:rsid w:val="00656A6E"/>
    <w:rsid w:val="00656FE4"/>
    <w:rsid w:val="00657063"/>
    <w:rsid w:val="006570B4"/>
    <w:rsid w:val="006570EA"/>
    <w:rsid w:val="00657246"/>
    <w:rsid w:val="006572F0"/>
    <w:rsid w:val="006572FA"/>
    <w:rsid w:val="006573C5"/>
    <w:rsid w:val="006573FD"/>
    <w:rsid w:val="0065772B"/>
    <w:rsid w:val="00657994"/>
    <w:rsid w:val="00657C13"/>
    <w:rsid w:val="00657E60"/>
    <w:rsid w:val="00660180"/>
    <w:rsid w:val="006601B7"/>
    <w:rsid w:val="00660269"/>
    <w:rsid w:val="006602E2"/>
    <w:rsid w:val="00660329"/>
    <w:rsid w:val="0066051A"/>
    <w:rsid w:val="00660794"/>
    <w:rsid w:val="00660799"/>
    <w:rsid w:val="0066092E"/>
    <w:rsid w:val="00660A76"/>
    <w:rsid w:val="00660AA1"/>
    <w:rsid w:val="00660B2C"/>
    <w:rsid w:val="00660C90"/>
    <w:rsid w:val="00660D4B"/>
    <w:rsid w:val="00660E92"/>
    <w:rsid w:val="006610FA"/>
    <w:rsid w:val="006612A4"/>
    <w:rsid w:val="006613BD"/>
    <w:rsid w:val="006615FE"/>
    <w:rsid w:val="00661711"/>
    <w:rsid w:val="00661789"/>
    <w:rsid w:val="0066188B"/>
    <w:rsid w:val="006618FB"/>
    <w:rsid w:val="006619B4"/>
    <w:rsid w:val="00661C8A"/>
    <w:rsid w:val="00662004"/>
    <w:rsid w:val="006622D5"/>
    <w:rsid w:val="00662753"/>
    <w:rsid w:val="0066279A"/>
    <w:rsid w:val="006627D3"/>
    <w:rsid w:val="00662813"/>
    <w:rsid w:val="006628D7"/>
    <w:rsid w:val="0066290C"/>
    <w:rsid w:val="0066291C"/>
    <w:rsid w:val="00662A0B"/>
    <w:rsid w:val="00662A1F"/>
    <w:rsid w:val="00662BD5"/>
    <w:rsid w:val="00662E6F"/>
    <w:rsid w:val="00662E7A"/>
    <w:rsid w:val="00663012"/>
    <w:rsid w:val="0066317D"/>
    <w:rsid w:val="006631F0"/>
    <w:rsid w:val="006631FB"/>
    <w:rsid w:val="00663270"/>
    <w:rsid w:val="00663806"/>
    <w:rsid w:val="0066391E"/>
    <w:rsid w:val="00663A7C"/>
    <w:rsid w:val="00663ACB"/>
    <w:rsid w:val="00663C5F"/>
    <w:rsid w:val="00663CED"/>
    <w:rsid w:val="00663F44"/>
    <w:rsid w:val="00663F5F"/>
    <w:rsid w:val="00663FDE"/>
    <w:rsid w:val="00664085"/>
    <w:rsid w:val="00664186"/>
    <w:rsid w:val="006641CE"/>
    <w:rsid w:val="006642EA"/>
    <w:rsid w:val="00664358"/>
    <w:rsid w:val="0066437C"/>
    <w:rsid w:val="00664513"/>
    <w:rsid w:val="006645B7"/>
    <w:rsid w:val="006646EC"/>
    <w:rsid w:val="006648CA"/>
    <w:rsid w:val="006648CF"/>
    <w:rsid w:val="00664A38"/>
    <w:rsid w:val="00664A6D"/>
    <w:rsid w:val="00664AB2"/>
    <w:rsid w:val="00664DC6"/>
    <w:rsid w:val="00664EA5"/>
    <w:rsid w:val="00665112"/>
    <w:rsid w:val="00665204"/>
    <w:rsid w:val="00665249"/>
    <w:rsid w:val="0066530F"/>
    <w:rsid w:val="006655F4"/>
    <w:rsid w:val="00665693"/>
    <w:rsid w:val="006657B5"/>
    <w:rsid w:val="00665895"/>
    <w:rsid w:val="00665C57"/>
    <w:rsid w:val="00665D08"/>
    <w:rsid w:val="00665FEF"/>
    <w:rsid w:val="00666102"/>
    <w:rsid w:val="00666193"/>
    <w:rsid w:val="0066625F"/>
    <w:rsid w:val="00666B06"/>
    <w:rsid w:val="00666C29"/>
    <w:rsid w:val="00666C37"/>
    <w:rsid w:val="00666DB7"/>
    <w:rsid w:val="0066700E"/>
    <w:rsid w:val="00667083"/>
    <w:rsid w:val="0066708A"/>
    <w:rsid w:val="0066718D"/>
    <w:rsid w:val="006675E5"/>
    <w:rsid w:val="0066779A"/>
    <w:rsid w:val="006677B7"/>
    <w:rsid w:val="00667865"/>
    <w:rsid w:val="0066797C"/>
    <w:rsid w:val="0066799B"/>
    <w:rsid w:val="00667CFE"/>
    <w:rsid w:val="00667D64"/>
    <w:rsid w:val="006702A9"/>
    <w:rsid w:val="0067032C"/>
    <w:rsid w:val="00670380"/>
    <w:rsid w:val="00670397"/>
    <w:rsid w:val="00670403"/>
    <w:rsid w:val="0067040A"/>
    <w:rsid w:val="00670414"/>
    <w:rsid w:val="006704B3"/>
    <w:rsid w:val="006705CD"/>
    <w:rsid w:val="006706A4"/>
    <w:rsid w:val="006706B8"/>
    <w:rsid w:val="00670887"/>
    <w:rsid w:val="006708AA"/>
    <w:rsid w:val="00670A18"/>
    <w:rsid w:val="00670A72"/>
    <w:rsid w:val="00670CFC"/>
    <w:rsid w:val="00670E0B"/>
    <w:rsid w:val="00670E1B"/>
    <w:rsid w:val="006711EB"/>
    <w:rsid w:val="006715D4"/>
    <w:rsid w:val="00671745"/>
    <w:rsid w:val="0067175D"/>
    <w:rsid w:val="00671990"/>
    <w:rsid w:val="006719D5"/>
    <w:rsid w:val="00671A1F"/>
    <w:rsid w:val="00671BA8"/>
    <w:rsid w:val="00671C71"/>
    <w:rsid w:val="00671D87"/>
    <w:rsid w:val="00671DE9"/>
    <w:rsid w:val="00671FF7"/>
    <w:rsid w:val="00672053"/>
    <w:rsid w:val="0067233A"/>
    <w:rsid w:val="00672783"/>
    <w:rsid w:val="006729D4"/>
    <w:rsid w:val="00672BEB"/>
    <w:rsid w:val="00672FB4"/>
    <w:rsid w:val="006731DA"/>
    <w:rsid w:val="00673382"/>
    <w:rsid w:val="006734CF"/>
    <w:rsid w:val="00673555"/>
    <w:rsid w:val="006737DF"/>
    <w:rsid w:val="0067384A"/>
    <w:rsid w:val="006739B9"/>
    <w:rsid w:val="00673A27"/>
    <w:rsid w:val="00673AD5"/>
    <w:rsid w:val="00673BCD"/>
    <w:rsid w:val="00673C6C"/>
    <w:rsid w:val="006740B1"/>
    <w:rsid w:val="0067426E"/>
    <w:rsid w:val="00674597"/>
    <w:rsid w:val="006746E4"/>
    <w:rsid w:val="00674BC9"/>
    <w:rsid w:val="00674C12"/>
    <w:rsid w:val="00674C5A"/>
    <w:rsid w:val="00674D5C"/>
    <w:rsid w:val="00674EB5"/>
    <w:rsid w:val="00674FEE"/>
    <w:rsid w:val="00675117"/>
    <w:rsid w:val="00675128"/>
    <w:rsid w:val="0067524A"/>
    <w:rsid w:val="00675310"/>
    <w:rsid w:val="0067549B"/>
    <w:rsid w:val="00675559"/>
    <w:rsid w:val="00675882"/>
    <w:rsid w:val="0067592E"/>
    <w:rsid w:val="00675D30"/>
    <w:rsid w:val="00675DE2"/>
    <w:rsid w:val="006761CA"/>
    <w:rsid w:val="00676297"/>
    <w:rsid w:val="0067685E"/>
    <w:rsid w:val="00676C88"/>
    <w:rsid w:val="00676D4C"/>
    <w:rsid w:val="006770B4"/>
    <w:rsid w:val="006771BC"/>
    <w:rsid w:val="006771C6"/>
    <w:rsid w:val="00677236"/>
    <w:rsid w:val="00677489"/>
    <w:rsid w:val="00677A0C"/>
    <w:rsid w:val="00677A5F"/>
    <w:rsid w:val="00677BCF"/>
    <w:rsid w:val="00677BF5"/>
    <w:rsid w:val="00677C00"/>
    <w:rsid w:val="00680238"/>
    <w:rsid w:val="0068039A"/>
    <w:rsid w:val="00680437"/>
    <w:rsid w:val="0068079C"/>
    <w:rsid w:val="006807B9"/>
    <w:rsid w:val="00680837"/>
    <w:rsid w:val="00680A6C"/>
    <w:rsid w:val="00680B8A"/>
    <w:rsid w:val="00680DBE"/>
    <w:rsid w:val="006811EC"/>
    <w:rsid w:val="006812CF"/>
    <w:rsid w:val="006815EE"/>
    <w:rsid w:val="006816A0"/>
    <w:rsid w:val="006816D3"/>
    <w:rsid w:val="006817A6"/>
    <w:rsid w:val="00681A56"/>
    <w:rsid w:val="00681A92"/>
    <w:rsid w:val="00681CBB"/>
    <w:rsid w:val="00681CCA"/>
    <w:rsid w:val="0068217F"/>
    <w:rsid w:val="00682212"/>
    <w:rsid w:val="00682249"/>
    <w:rsid w:val="006822C6"/>
    <w:rsid w:val="0068242E"/>
    <w:rsid w:val="00682583"/>
    <w:rsid w:val="006825F8"/>
    <w:rsid w:val="006826A5"/>
    <w:rsid w:val="0068278D"/>
    <w:rsid w:val="00682A22"/>
    <w:rsid w:val="00682B59"/>
    <w:rsid w:val="00682B99"/>
    <w:rsid w:val="00682D8A"/>
    <w:rsid w:val="00682FD2"/>
    <w:rsid w:val="00682FD3"/>
    <w:rsid w:val="006830BB"/>
    <w:rsid w:val="00683341"/>
    <w:rsid w:val="00683420"/>
    <w:rsid w:val="00683436"/>
    <w:rsid w:val="0068362B"/>
    <w:rsid w:val="006839E3"/>
    <w:rsid w:val="00683B7F"/>
    <w:rsid w:val="0068404B"/>
    <w:rsid w:val="0068431F"/>
    <w:rsid w:val="006843AC"/>
    <w:rsid w:val="00684A86"/>
    <w:rsid w:val="00684A8E"/>
    <w:rsid w:val="00684C18"/>
    <w:rsid w:val="00684D82"/>
    <w:rsid w:val="00684F0F"/>
    <w:rsid w:val="006851C0"/>
    <w:rsid w:val="006851D0"/>
    <w:rsid w:val="00685446"/>
    <w:rsid w:val="00685484"/>
    <w:rsid w:val="006859E1"/>
    <w:rsid w:val="00685C04"/>
    <w:rsid w:val="0068618A"/>
    <w:rsid w:val="006862BE"/>
    <w:rsid w:val="006865DE"/>
    <w:rsid w:val="006865F8"/>
    <w:rsid w:val="00686C0C"/>
    <w:rsid w:val="00686CC2"/>
    <w:rsid w:val="00686D68"/>
    <w:rsid w:val="00686D7A"/>
    <w:rsid w:val="00686D84"/>
    <w:rsid w:val="00686F7F"/>
    <w:rsid w:val="006870B5"/>
    <w:rsid w:val="00687413"/>
    <w:rsid w:val="006874C9"/>
    <w:rsid w:val="0068769E"/>
    <w:rsid w:val="00687A41"/>
    <w:rsid w:val="00687AC7"/>
    <w:rsid w:val="00687B85"/>
    <w:rsid w:val="00687B95"/>
    <w:rsid w:val="00687BE4"/>
    <w:rsid w:val="00687D6B"/>
    <w:rsid w:val="00687D8C"/>
    <w:rsid w:val="00687DB3"/>
    <w:rsid w:val="00687E17"/>
    <w:rsid w:val="00690110"/>
    <w:rsid w:val="00690166"/>
    <w:rsid w:val="00690A9F"/>
    <w:rsid w:val="00690B87"/>
    <w:rsid w:val="00690CF0"/>
    <w:rsid w:val="00691033"/>
    <w:rsid w:val="00691144"/>
    <w:rsid w:val="006913B6"/>
    <w:rsid w:val="006913CC"/>
    <w:rsid w:val="006913F8"/>
    <w:rsid w:val="0069142C"/>
    <w:rsid w:val="006914C6"/>
    <w:rsid w:val="006916E6"/>
    <w:rsid w:val="0069174E"/>
    <w:rsid w:val="00691821"/>
    <w:rsid w:val="00691BF9"/>
    <w:rsid w:val="00691E4E"/>
    <w:rsid w:val="00692105"/>
    <w:rsid w:val="006922F8"/>
    <w:rsid w:val="0069244B"/>
    <w:rsid w:val="00692451"/>
    <w:rsid w:val="006924F2"/>
    <w:rsid w:val="00692573"/>
    <w:rsid w:val="00692874"/>
    <w:rsid w:val="006929F4"/>
    <w:rsid w:val="00692A04"/>
    <w:rsid w:val="00692B12"/>
    <w:rsid w:val="00692C59"/>
    <w:rsid w:val="00692D57"/>
    <w:rsid w:val="00692E38"/>
    <w:rsid w:val="00692E77"/>
    <w:rsid w:val="00692F7D"/>
    <w:rsid w:val="006933AE"/>
    <w:rsid w:val="006933BF"/>
    <w:rsid w:val="00693447"/>
    <w:rsid w:val="006935B4"/>
    <w:rsid w:val="00693A1C"/>
    <w:rsid w:val="00693BA0"/>
    <w:rsid w:val="00693EB8"/>
    <w:rsid w:val="00694142"/>
    <w:rsid w:val="0069432D"/>
    <w:rsid w:val="006943D5"/>
    <w:rsid w:val="006945B5"/>
    <w:rsid w:val="0069462F"/>
    <w:rsid w:val="0069470B"/>
    <w:rsid w:val="0069471B"/>
    <w:rsid w:val="00694740"/>
    <w:rsid w:val="0069480F"/>
    <w:rsid w:val="00694943"/>
    <w:rsid w:val="006949F7"/>
    <w:rsid w:val="00694E6F"/>
    <w:rsid w:val="00694F44"/>
    <w:rsid w:val="006951A8"/>
    <w:rsid w:val="006953BB"/>
    <w:rsid w:val="006953FC"/>
    <w:rsid w:val="006956A6"/>
    <w:rsid w:val="0069590E"/>
    <w:rsid w:val="00695983"/>
    <w:rsid w:val="00695A20"/>
    <w:rsid w:val="00695A72"/>
    <w:rsid w:val="00695AE7"/>
    <w:rsid w:val="00695B87"/>
    <w:rsid w:val="00695D67"/>
    <w:rsid w:val="00695E7C"/>
    <w:rsid w:val="00695FDB"/>
    <w:rsid w:val="0069614D"/>
    <w:rsid w:val="0069617B"/>
    <w:rsid w:val="006962A0"/>
    <w:rsid w:val="0069638D"/>
    <w:rsid w:val="006965CC"/>
    <w:rsid w:val="00696627"/>
    <w:rsid w:val="00696673"/>
    <w:rsid w:val="00696A97"/>
    <w:rsid w:val="00696D59"/>
    <w:rsid w:val="00696E33"/>
    <w:rsid w:val="00696FD9"/>
    <w:rsid w:val="006970B1"/>
    <w:rsid w:val="006970E8"/>
    <w:rsid w:val="00697201"/>
    <w:rsid w:val="0069772A"/>
    <w:rsid w:val="006977B5"/>
    <w:rsid w:val="00697AFE"/>
    <w:rsid w:val="00697B33"/>
    <w:rsid w:val="00697D4A"/>
    <w:rsid w:val="00697DB2"/>
    <w:rsid w:val="00697E0A"/>
    <w:rsid w:val="00697E17"/>
    <w:rsid w:val="00697EC1"/>
    <w:rsid w:val="00697F37"/>
    <w:rsid w:val="006A0011"/>
    <w:rsid w:val="006A00AA"/>
    <w:rsid w:val="006A024E"/>
    <w:rsid w:val="006A0304"/>
    <w:rsid w:val="006A0309"/>
    <w:rsid w:val="006A034A"/>
    <w:rsid w:val="006A03C9"/>
    <w:rsid w:val="006A04AF"/>
    <w:rsid w:val="006A055B"/>
    <w:rsid w:val="006A0B06"/>
    <w:rsid w:val="006A0D28"/>
    <w:rsid w:val="006A0D77"/>
    <w:rsid w:val="006A0FA6"/>
    <w:rsid w:val="006A1148"/>
    <w:rsid w:val="006A11CC"/>
    <w:rsid w:val="006A1241"/>
    <w:rsid w:val="006A1449"/>
    <w:rsid w:val="006A15F8"/>
    <w:rsid w:val="006A1746"/>
    <w:rsid w:val="006A187D"/>
    <w:rsid w:val="006A1B6A"/>
    <w:rsid w:val="006A1BF7"/>
    <w:rsid w:val="006A1D23"/>
    <w:rsid w:val="006A1DD5"/>
    <w:rsid w:val="006A1DFA"/>
    <w:rsid w:val="006A1E3F"/>
    <w:rsid w:val="006A2117"/>
    <w:rsid w:val="006A220A"/>
    <w:rsid w:val="006A22D0"/>
    <w:rsid w:val="006A2491"/>
    <w:rsid w:val="006A256E"/>
    <w:rsid w:val="006A2690"/>
    <w:rsid w:val="006A26FE"/>
    <w:rsid w:val="006A29DB"/>
    <w:rsid w:val="006A2C38"/>
    <w:rsid w:val="006A2C90"/>
    <w:rsid w:val="006A2D44"/>
    <w:rsid w:val="006A2E48"/>
    <w:rsid w:val="006A2E4C"/>
    <w:rsid w:val="006A2E53"/>
    <w:rsid w:val="006A306E"/>
    <w:rsid w:val="006A3605"/>
    <w:rsid w:val="006A37E1"/>
    <w:rsid w:val="006A3B14"/>
    <w:rsid w:val="006A3B4D"/>
    <w:rsid w:val="006A3B79"/>
    <w:rsid w:val="006A3CA1"/>
    <w:rsid w:val="006A412D"/>
    <w:rsid w:val="006A438F"/>
    <w:rsid w:val="006A46E5"/>
    <w:rsid w:val="006A4752"/>
    <w:rsid w:val="006A47E2"/>
    <w:rsid w:val="006A4952"/>
    <w:rsid w:val="006A4A53"/>
    <w:rsid w:val="006A4AA0"/>
    <w:rsid w:val="006A4DAB"/>
    <w:rsid w:val="006A4F62"/>
    <w:rsid w:val="006A50A8"/>
    <w:rsid w:val="006A50FF"/>
    <w:rsid w:val="006A5412"/>
    <w:rsid w:val="006A5586"/>
    <w:rsid w:val="006A55EA"/>
    <w:rsid w:val="006A569F"/>
    <w:rsid w:val="006A57DF"/>
    <w:rsid w:val="006A5A4B"/>
    <w:rsid w:val="006A65A2"/>
    <w:rsid w:val="006A65D4"/>
    <w:rsid w:val="006A677E"/>
    <w:rsid w:val="006A67C1"/>
    <w:rsid w:val="006A6C3A"/>
    <w:rsid w:val="006A6C6F"/>
    <w:rsid w:val="006A6D0E"/>
    <w:rsid w:val="006A6E71"/>
    <w:rsid w:val="006A6E7D"/>
    <w:rsid w:val="006A6F8B"/>
    <w:rsid w:val="006A7260"/>
    <w:rsid w:val="006A7310"/>
    <w:rsid w:val="006A7684"/>
    <w:rsid w:val="006A76F0"/>
    <w:rsid w:val="006A7A96"/>
    <w:rsid w:val="006A7BB7"/>
    <w:rsid w:val="006A7DCC"/>
    <w:rsid w:val="006B00F0"/>
    <w:rsid w:val="006B01A6"/>
    <w:rsid w:val="006B01DA"/>
    <w:rsid w:val="006B04EB"/>
    <w:rsid w:val="006B0AA7"/>
    <w:rsid w:val="006B0AD7"/>
    <w:rsid w:val="006B0E09"/>
    <w:rsid w:val="006B0F85"/>
    <w:rsid w:val="006B10F0"/>
    <w:rsid w:val="006B1188"/>
    <w:rsid w:val="006B12FE"/>
    <w:rsid w:val="006B18BE"/>
    <w:rsid w:val="006B1954"/>
    <w:rsid w:val="006B1C49"/>
    <w:rsid w:val="006B1D0B"/>
    <w:rsid w:val="006B1EB8"/>
    <w:rsid w:val="006B2343"/>
    <w:rsid w:val="006B2433"/>
    <w:rsid w:val="006B24D3"/>
    <w:rsid w:val="006B261C"/>
    <w:rsid w:val="006B2891"/>
    <w:rsid w:val="006B29D1"/>
    <w:rsid w:val="006B2A54"/>
    <w:rsid w:val="006B2DDC"/>
    <w:rsid w:val="006B2DF7"/>
    <w:rsid w:val="006B359E"/>
    <w:rsid w:val="006B388C"/>
    <w:rsid w:val="006B39A4"/>
    <w:rsid w:val="006B3A85"/>
    <w:rsid w:val="006B3F46"/>
    <w:rsid w:val="006B3FDA"/>
    <w:rsid w:val="006B44F4"/>
    <w:rsid w:val="006B4702"/>
    <w:rsid w:val="006B4BCA"/>
    <w:rsid w:val="006B4CB1"/>
    <w:rsid w:val="006B505A"/>
    <w:rsid w:val="006B556D"/>
    <w:rsid w:val="006B5977"/>
    <w:rsid w:val="006B5B63"/>
    <w:rsid w:val="006B5C54"/>
    <w:rsid w:val="006B5D96"/>
    <w:rsid w:val="006B5E7B"/>
    <w:rsid w:val="006B5F12"/>
    <w:rsid w:val="006B5F7C"/>
    <w:rsid w:val="006B5FDD"/>
    <w:rsid w:val="006B5FEE"/>
    <w:rsid w:val="006B6280"/>
    <w:rsid w:val="006B628C"/>
    <w:rsid w:val="006B6349"/>
    <w:rsid w:val="006B63A3"/>
    <w:rsid w:val="006B65D0"/>
    <w:rsid w:val="006B67DB"/>
    <w:rsid w:val="006B6AA8"/>
    <w:rsid w:val="006B6BA4"/>
    <w:rsid w:val="006B6D85"/>
    <w:rsid w:val="006B7509"/>
    <w:rsid w:val="006B75F4"/>
    <w:rsid w:val="006B7601"/>
    <w:rsid w:val="006B7655"/>
    <w:rsid w:val="006B7765"/>
    <w:rsid w:val="006B79A3"/>
    <w:rsid w:val="006B7D16"/>
    <w:rsid w:val="006B7E77"/>
    <w:rsid w:val="006B7F6D"/>
    <w:rsid w:val="006B7F96"/>
    <w:rsid w:val="006B7FA1"/>
    <w:rsid w:val="006C01FB"/>
    <w:rsid w:val="006C02BD"/>
    <w:rsid w:val="006C03A1"/>
    <w:rsid w:val="006C0436"/>
    <w:rsid w:val="006C063A"/>
    <w:rsid w:val="006C0689"/>
    <w:rsid w:val="006C07BA"/>
    <w:rsid w:val="006C081B"/>
    <w:rsid w:val="006C0877"/>
    <w:rsid w:val="006C0BD9"/>
    <w:rsid w:val="006C0DB4"/>
    <w:rsid w:val="006C0DDB"/>
    <w:rsid w:val="006C0FC1"/>
    <w:rsid w:val="006C10C0"/>
    <w:rsid w:val="006C12CE"/>
    <w:rsid w:val="006C146A"/>
    <w:rsid w:val="006C14B6"/>
    <w:rsid w:val="006C166B"/>
    <w:rsid w:val="006C18FD"/>
    <w:rsid w:val="006C1C8D"/>
    <w:rsid w:val="006C1D0E"/>
    <w:rsid w:val="006C1D13"/>
    <w:rsid w:val="006C1DBA"/>
    <w:rsid w:val="006C1E64"/>
    <w:rsid w:val="006C1EC9"/>
    <w:rsid w:val="006C1EDB"/>
    <w:rsid w:val="006C206A"/>
    <w:rsid w:val="006C20C1"/>
    <w:rsid w:val="006C20CB"/>
    <w:rsid w:val="006C23BA"/>
    <w:rsid w:val="006C25FE"/>
    <w:rsid w:val="006C271B"/>
    <w:rsid w:val="006C2D2D"/>
    <w:rsid w:val="006C2F01"/>
    <w:rsid w:val="006C306D"/>
    <w:rsid w:val="006C3456"/>
    <w:rsid w:val="006C36A7"/>
    <w:rsid w:val="006C378E"/>
    <w:rsid w:val="006C37F7"/>
    <w:rsid w:val="006C3B2E"/>
    <w:rsid w:val="006C3B77"/>
    <w:rsid w:val="006C3BEB"/>
    <w:rsid w:val="006C3E55"/>
    <w:rsid w:val="006C44C0"/>
    <w:rsid w:val="006C44CD"/>
    <w:rsid w:val="006C4679"/>
    <w:rsid w:val="006C47D9"/>
    <w:rsid w:val="006C4888"/>
    <w:rsid w:val="006C4946"/>
    <w:rsid w:val="006C4B1B"/>
    <w:rsid w:val="006C4B37"/>
    <w:rsid w:val="006C4CE2"/>
    <w:rsid w:val="006C4D11"/>
    <w:rsid w:val="006C4E13"/>
    <w:rsid w:val="006C4E33"/>
    <w:rsid w:val="006C51CE"/>
    <w:rsid w:val="006C541A"/>
    <w:rsid w:val="006C548D"/>
    <w:rsid w:val="006C54EE"/>
    <w:rsid w:val="006C5820"/>
    <w:rsid w:val="006C5906"/>
    <w:rsid w:val="006C59BD"/>
    <w:rsid w:val="006C5C22"/>
    <w:rsid w:val="006C5DDB"/>
    <w:rsid w:val="006C5E2A"/>
    <w:rsid w:val="006C5EFB"/>
    <w:rsid w:val="006C5F36"/>
    <w:rsid w:val="006C60ED"/>
    <w:rsid w:val="006C612E"/>
    <w:rsid w:val="006C61F4"/>
    <w:rsid w:val="006C675F"/>
    <w:rsid w:val="006C67F7"/>
    <w:rsid w:val="006C6A67"/>
    <w:rsid w:val="006C6B73"/>
    <w:rsid w:val="006C6E59"/>
    <w:rsid w:val="006C6EB5"/>
    <w:rsid w:val="006C7314"/>
    <w:rsid w:val="006C741E"/>
    <w:rsid w:val="006C765E"/>
    <w:rsid w:val="006C7E2B"/>
    <w:rsid w:val="006C7EDD"/>
    <w:rsid w:val="006D0378"/>
    <w:rsid w:val="006D0637"/>
    <w:rsid w:val="006D080F"/>
    <w:rsid w:val="006D0854"/>
    <w:rsid w:val="006D0960"/>
    <w:rsid w:val="006D0B18"/>
    <w:rsid w:val="006D0FB0"/>
    <w:rsid w:val="006D10B2"/>
    <w:rsid w:val="006D138C"/>
    <w:rsid w:val="006D1687"/>
    <w:rsid w:val="006D188F"/>
    <w:rsid w:val="006D18C3"/>
    <w:rsid w:val="006D1A7A"/>
    <w:rsid w:val="006D1B34"/>
    <w:rsid w:val="006D1F55"/>
    <w:rsid w:val="006D26DE"/>
    <w:rsid w:val="006D26EA"/>
    <w:rsid w:val="006D283E"/>
    <w:rsid w:val="006D2B9B"/>
    <w:rsid w:val="006D2C05"/>
    <w:rsid w:val="006D2F5C"/>
    <w:rsid w:val="006D3153"/>
    <w:rsid w:val="006D3284"/>
    <w:rsid w:val="006D333B"/>
    <w:rsid w:val="006D33D6"/>
    <w:rsid w:val="006D34E0"/>
    <w:rsid w:val="006D3BBA"/>
    <w:rsid w:val="006D3EB8"/>
    <w:rsid w:val="006D3EDD"/>
    <w:rsid w:val="006D4054"/>
    <w:rsid w:val="006D40FF"/>
    <w:rsid w:val="006D4170"/>
    <w:rsid w:val="006D448C"/>
    <w:rsid w:val="006D472A"/>
    <w:rsid w:val="006D4796"/>
    <w:rsid w:val="006D499A"/>
    <w:rsid w:val="006D4AE4"/>
    <w:rsid w:val="006D4C64"/>
    <w:rsid w:val="006D4CC0"/>
    <w:rsid w:val="006D4D00"/>
    <w:rsid w:val="006D4F0D"/>
    <w:rsid w:val="006D5151"/>
    <w:rsid w:val="006D54F5"/>
    <w:rsid w:val="006D5869"/>
    <w:rsid w:val="006D5990"/>
    <w:rsid w:val="006D59DB"/>
    <w:rsid w:val="006D5A1B"/>
    <w:rsid w:val="006D5AE3"/>
    <w:rsid w:val="006D5C75"/>
    <w:rsid w:val="006D5D83"/>
    <w:rsid w:val="006D5DD8"/>
    <w:rsid w:val="006D5EB2"/>
    <w:rsid w:val="006D60F4"/>
    <w:rsid w:val="006D6205"/>
    <w:rsid w:val="006D6922"/>
    <w:rsid w:val="006D6CE1"/>
    <w:rsid w:val="006D6D91"/>
    <w:rsid w:val="006D6E83"/>
    <w:rsid w:val="006D6F31"/>
    <w:rsid w:val="006D707D"/>
    <w:rsid w:val="006D7329"/>
    <w:rsid w:val="006D7346"/>
    <w:rsid w:val="006D7401"/>
    <w:rsid w:val="006D7521"/>
    <w:rsid w:val="006D7542"/>
    <w:rsid w:val="006D7731"/>
    <w:rsid w:val="006D7793"/>
    <w:rsid w:val="006D78DB"/>
    <w:rsid w:val="006D7C88"/>
    <w:rsid w:val="006E011C"/>
    <w:rsid w:val="006E018A"/>
    <w:rsid w:val="006E01CB"/>
    <w:rsid w:val="006E029C"/>
    <w:rsid w:val="006E0413"/>
    <w:rsid w:val="006E04D8"/>
    <w:rsid w:val="006E05A4"/>
    <w:rsid w:val="006E07C9"/>
    <w:rsid w:val="006E0821"/>
    <w:rsid w:val="006E086A"/>
    <w:rsid w:val="006E0A2B"/>
    <w:rsid w:val="006E0A8B"/>
    <w:rsid w:val="006E0B6D"/>
    <w:rsid w:val="006E0BDC"/>
    <w:rsid w:val="006E0D44"/>
    <w:rsid w:val="006E0DF3"/>
    <w:rsid w:val="006E1088"/>
    <w:rsid w:val="006E1442"/>
    <w:rsid w:val="006E1545"/>
    <w:rsid w:val="006E1B2F"/>
    <w:rsid w:val="006E1D38"/>
    <w:rsid w:val="006E1D9A"/>
    <w:rsid w:val="006E1E4A"/>
    <w:rsid w:val="006E1F1D"/>
    <w:rsid w:val="006E21FE"/>
    <w:rsid w:val="006E2327"/>
    <w:rsid w:val="006E2407"/>
    <w:rsid w:val="006E2549"/>
    <w:rsid w:val="006E2984"/>
    <w:rsid w:val="006E2991"/>
    <w:rsid w:val="006E2B25"/>
    <w:rsid w:val="006E2C0C"/>
    <w:rsid w:val="006E2CF7"/>
    <w:rsid w:val="006E2D60"/>
    <w:rsid w:val="006E2DDE"/>
    <w:rsid w:val="006E301C"/>
    <w:rsid w:val="006E3084"/>
    <w:rsid w:val="006E3095"/>
    <w:rsid w:val="006E3267"/>
    <w:rsid w:val="006E3330"/>
    <w:rsid w:val="006E3351"/>
    <w:rsid w:val="006E3741"/>
    <w:rsid w:val="006E3AD9"/>
    <w:rsid w:val="006E4239"/>
    <w:rsid w:val="006E42F7"/>
    <w:rsid w:val="006E4330"/>
    <w:rsid w:val="006E437C"/>
    <w:rsid w:val="006E43BA"/>
    <w:rsid w:val="006E450E"/>
    <w:rsid w:val="006E47D9"/>
    <w:rsid w:val="006E491E"/>
    <w:rsid w:val="006E4E79"/>
    <w:rsid w:val="006E5041"/>
    <w:rsid w:val="006E5076"/>
    <w:rsid w:val="006E512D"/>
    <w:rsid w:val="006E523F"/>
    <w:rsid w:val="006E5304"/>
    <w:rsid w:val="006E5406"/>
    <w:rsid w:val="006E554F"/>
    <w:rsid w:val="006E56E9"/>
    <w:rsid w:val="006E5A54"/>
    <w:rsid w:val="006E5D20"/>
    <w:rsid w:val="006E60D6"/>
    <w:rsid w:val="006E62AB"/>
    <w:rsid w:val="006E641D"/>
    <w:rsid w:val="006E6473"/>
    <w:rsid w:val="006E654A"/>
    <w:rsid w:val="006E6ACB"/>
    <w:rsid w:val="006E6C2F"/>
    <w:rsid w:val="006E6DE6"/>
    <w:rsid w:val="006E6E6A"/>
    <w:rsid w:val="006E6FCE"/>
    <w:rsid w:val="006E6FE1"/>
    <w:rsid w:val="006E7248"/>
    <w:rsid w:val="006E747C"/>
    <w:rsid w:val="006E7646"/>
    <w:rsid w:val="006E7988"/>
    <w:rsid w:val="006E7A2C"/>
    <w:rsid w:val="006E7B44"/>
    <w:rsid w:val="006F0461"/>
    <w:rsid w:val="006F055D"/>
    <w:rsid w:val="006F06EE"/>
    <w:rsid w:val="006F0991"/>
    <w:rsid w:val="006F0A24"/>
    <w:rsid w:val="006F0B32"/>
    <w:rsid w:val="006F0C63"/>
    <w:rsid w:val="006F0D08"/>
    <w:rsid w:val="006F0D8F"/>
    <w:rsid w:val="006F0E03"/>
    <w:rsid w:val="006F1094"/>
    <w:rsid w:val="006F13A0"/>
    <w:rsid w:val="006F13ED"/>
    <w:rsid w:val="006F159E"/>
    <w:rsid w:val="006F16D0"/>
    <w:rsid w:val="006F17E3"/>
    <w:rsid w:val="006F1821"/>
    <w:rsid w:val="006F188C"/>
    <w:rsid w:val="006F18DC"/>
    <w:rsid w:val="006F1A7F"/>
    <w:rsid w:val="006F1C10"/>
    <w:rsid w:val="006F1C84"/>
    <w:rsid w:val="006F1C9E"/>
    <w:rsid w:val="006F1CF0"/>
    <w:rsid w:val="006F1D56"/>
    <w:rsid w:val="006F1F65"/>
    <w:rsid w:val="006F1FA4"/>
    <w:rsid w:val="006F1FFC"/>
    <w:rsid w:val="006F23DA"/>
    <w:rsid w:val="006F2516"/>
    <w:rsid w:val="006F25E6"/>
    <w:rsid w:val="006F2606"/>
    <w:rsid w:val="006F2650"/>
    <w:rsid w:val="006F27E4"/>
    <w:rsid w:val="006F2AAA"/>
    <w:rsid w:val="006F2C93"/>
    <w:rsid w:val="006F2D70"/>
    <w:rsid w:val="006F2E4A"/>
    <w:rsid w:val="006F2E87"/>
    <w:rsid w:val="006F3294"/>
    <w:rsid w:val="006F380D"/>
    <w:rsid w:val="006F3A96"/>
    <w:rsid w:val="006F3AF1"/>
    <w:rsid w:val="006F3E32"/>
    <w:rsid w:val="006F3EDE"/>
    <w:rsid w:val="006F4136"/>
    <w:rsid w:val="006F4296"/>
    <w:rsid w:val="006F44A4"/>
    <w:rsid w:val="006F4530"/>
    <w:rsid w:val="006F4559"/>
    <w:rsid w:val="006F4575"/>
    <w:rsid w:val="006F4735"/>
    <w:rsid w:val="006F4802"/>
    <w:rsid w:val="006F48C5"/>
    <w:rsid w:val="006F48DA"/>
    <w:rsid w:val="006F493D"/>
    <w:rsid w:val="006F4A9B"/>
    <w:rsid w:val="006F4AF0"/>
    <w:rsid w:val="006F4B43"/>
    <w:rsid w:val="006F4B8E"/>
    <w:rsid w:val="006F4CAB"/>
    <w:rsid w:val="006F4DEC"/>
    <w:rsid w:val="006F4E3F"/>
    <w:rsid w:val="006F4E8B"/>
    <w:rsid w:val="006F4F5C"/>
    <w:rsid w:val="006F5101"/>
    <w:rsid w:val="006F53BA"/>
    <w:rsid w:val="006F5433"/>
    <w:rsid w:val="006F5492"/>
    <w:rsid w:val="006F54E9"/>
    <w:rsid w:val="006F5804"/>
    <w:rsid w:val="006F58CA"/>
    <w:rsid w:val="006F5A7C"/>
    <w:rsid w:val="006F5B7B"/>
    <w:rsid w:val="006F5B85"/>
    <w:rsid w:val="006F60AA"/>
    <w:rsid w:val="006F6176"/>
    <w:rsid w:val="006F6209"/>
    <w:rsid w:val="006F6298"/>
    <w:rsid w:val="006F6433"/>
    <w:rsid w:val="006F651D"/>
    <w:rsid w:val="006F6652"/>
    <w:rsid w:val="006F681A"/>
    <w:rsid w:val="006F6870"/>
    <w:rsid w:val="006F68BE"/>
    <w:rsid w:val="006F6A60"/>
    <w:rsid w:val="006F6BAC"/>
    <w:rsid w:val="006F6DA4"/>
    <w:rsid w:val="006F6E07"/>
    <w:rsid w:val="006F6E57"/>
    <w:rsid w:val="006F6FB6"/>
    <w:rsid w:val="006F6FF1"/>
    <w:rsid w:val="006F702A"/>
    <w:rsid w:val="006F7230"/>
    <w:rsid w:val="006F72BA"/>
    <w:rsid w:val="006F7313"/>
    <w:rsid w:val="006F74E4"/>
    <w:rsid w:val="006F74F8"/>
    <w:rsid w:val="006F78A0"/>
    <w:rsid w:val="006F7923"/>
    <w:rsid w:val="00700083"/>
    <w:rsid w:val="007000A0"/>
    <w:rsid w:val="00700245"/>
    <w:rsid w:val="00700299"/>
    <w:rsid w:val="007003D7"/>
    <w:rsid w:val="007006A4"/>
    <w:rsid w:val="00700758"/>
    <w:rsid w:val="007007C1"/>
    <w:rsid w:val="0070095B"/>
    <w:rsid w:val="00700B7D"/>
    <w:rsid w:val="007010A6"/>
    <w:rsid w:val="007013F2"/>
    <w:rsid w:val="007014EA"/>
    <w:rsid w:val="00701623"/>
    <w:rsid w:val="00701682"/>
    <w:rsid w:val="00701697"/>
    <w:rsid w:val="007018D0"/>
    <w:rsid w:val="007019FF"/>
    <w:rsid w:val="00701E15"/>
    <w:rsid w:val="00701E55"/>
    <w:rsid w:val="00701F3F"/>
    <w:rsid w:val="007020FE"/>
    <w:rsid w:val="0070223B"/>
    <w:rsid w:val="007022C8"/>
    <w:rsid w:val="00702322"/>
    <w:rsid w:val="0070269F"/>
    <w:rsid w:val="00702AF0"/>
    <w:rsid w:val="00702E97"/>
    <w:rsid w:val="007030F6"/>
    <w:rsid w:val="007033EA"/>
    <w:rsid w:val="0070357D"/>
    <w:rsid w:val="0070386A"/>
    <w:rsid w:val="0070393B"/>
    <w:rsid w:val="00703B3E"/>
    <w:rsid w:val="00703C89"/>
    <w:rsid w:val="00703C9C"/>
    <w:rsid w:val="00703F0B"/>
    <w:rsid w:val="00704193"/>
    <w:rsid w:val="007041D9"/>
    <w:rsid w:val="0070443A"/>
    <w:rsid w:val="00704616"/>
    <w:rsid w:val="00704676"/>
    <w:rsid w:val="00704719"/>
    <w:rsid w:val="00704735"/>
    <w:rsid w:val="007048A0"/>
    <w:rsid w:val="00704946"/>
    <w:rsid w:val="00704A6D"/>
    <w:rsid w:val="00704F14"/>
    <w:rsid w:val="00704FBD"/>
    <w:rsid w:val="00705050"/>
    <w:rsid w:val="00705507"/>
    <w:rsid w:val="007056EE"/>
    <w:rsid w:val="00705739"/>
    <w:rsid w:val="00705986"/>
    <w:rsid w:val="00705B52"/>
    <w:rsid w:val="00705DEC"/>
    <w:rsid w:val="00706058"/>
    <w:rsid w:val="00706176"/>
    <w:rsid w:val="00706230"/>
    <w:rsid w:val="00706465"/>
    <w:rsid w:val="007066A3"/>
    <w:rsid w:val="007066D4"/>
    <w:rsid w:val="00706796"/>
    <w:rsid w:val="00706AE7"/>
    <w:rsid w:val="00706C78"/>
    <w:rsid w:val="00706E2F"/>
    <w:rsid w:val="00706E9E"/>
    <w:rsid w:val="00707020"/>
    <w:rsid w:val="0070710E"/>
    <w:rsid w:val="007071D7"/>
    <w:rsid w:val="007072C8"/>
    <w:rsid w:val="007073F4"/>
    <w:rsid w:val="00707576"/>
    <w:rsid w:val="00707577"/>
    <w:rsid w:val="00707587"/>
    <w:rsid w:val="007075EE"/>
    <w:rsid w:val="00707703"/>
    <w:rsid w:val="0070790D"/>
    <w:rsid w:val="00707CAE"/>
    <w:rsid w:val="00707DEE"/>
    <w:rsid w:val="007101D5"/>
    <w:rsid w:val="007102FA"/>
    <w:rsid w:val="0071050A"/>
    <w:rsid w:val="00710732"/>
    <w:rsid w:val="007108B0"/>
    <w:rsid w:val="00710B97"/>
    <w:rsid w:val="00710C2B"/>
    <w:rsid w:val="00710C45"/>
    <w:rsid w:val="00710D71"/>
    <w:rsid w:val="00710DC1"/>
    <w:rsid w:val="007110E8"/>
    <w:rsid w:val="00711173"/>
    <w:rsid w:val="00711482"/>
    <w:rsid w:val="00711C9C"/>
    <w:rsid w:val="00711CB4"/>
    <w:rsid w:val="00711E6D"/>
    <w:rsid w:val="00711EB4"/>
    <w:rsid w:val="00711EE8"/>
    <w:rsid w:val="00711F70"/>
    <w:rsid w:val="0071253C"/>
    <w:rsid w:val="007129B4"/>
    <w:rsid w:val="00712AE2"/>
    <w:rsid w:val="00712BA3"/>
    <w:rsid w:val="00712E7B"/>
    <w:rsid w:val="007130E6"/>
    <w:rsid w:val="00713149"/>
    <w:rsid w:val="007131EA"/>
    <w:rsid w:val="007139F6"/>
    <w:rsid w:val="00713C66"/>
    <w:rsid w:val="00713EF7"/>
    <w:rsid w:val="00714287"/>
    <w:rsid w:val="00714341"/>
    <w:rsid w:val="0071447A"/>
    <w:rsid w:val="007146FA"/>
    <w:rsid w:val="00714780"/>
    <w:rsid w:val="007147BB"/>
    <w:rsid w:val="0071490F"/>
    <w:rsid w:val="00714919"/>
    <w:rsid w:val="007149B4"/>
    <w:rsid w:val="00714B94"/>
    <w:rsid w:val="00714CF1"/>
    <w:rsid w:val="00714E8C"/>
    <w:rsid w:val="00715050"/>
    <w:rsid w:val="00715883"/>
    <w:rsid w:val="00715C04"/>
    <w:rsid w:val="00715CAC"/>
    <w:rsid w:val="00715D5E"/>
    <w:rsid w:val="00715E9E"/>
    <w:rsid w:val="00716057"/>
    <w:rsid w:val="007160C9"/>
    <w:rsid w:val="00716104"/>
    <w:rsid w:val="00716241"/>
    <w:rsid w:val="007162F9"/>
    <w:rsid w:val="007164CA"/>
    <w:rsid w:val="007164F4"/>
    <w:rsid w:val="0071660A"/>
    <w:rsid w:val="007166D1"/>
    <w:rsid w:val="007168F7"/>
    <w:rsid w:val="00716DEF"/>
    <w:rsid w:val="00716E39"/>
    <w:rsid w:val="007170C7"/>
    <w:rsid w:val="00717112"/>
    <w:rsid w:val="0071711A"/>
    <w:rsid w:val="00717138"/>
    <w:rsid w:val="007171C1"/>
    <w:rsid w:val="007171CB"/>
    <w:rsid w:val="00717284"/>
    <w:rsid w:val="007172B0"/>
    <w:rsid w:val="00717515"/>
    <w:rsid w:val="0071759B"/>
    <w:rsid w:val="00717747"/>
    <w:rsid w:val="00717809"/>
    <w:rsid w:val="00717A1D"/>
    <w:rsid w:val="00717B85"/>
    <w:rsid w:val="00717D2A"/>
    <w:rsid w:val="00717DF3"/>
    <w:rsid w:val="00717E06"/>
    <w:rsid w:val="00717E65"/>
    <w:rsid w:val="00717F28"/>
    <w:rsid w:val="00717F30"/>
    <w:rsid w:val="00717F88"/>
    <w:rsid w:val="00717FD1"/>
    <w:rsid w:val="007205A9"/>
    <w:rsid w:val="0072097C"/>
    <w:rsid w:val="00720A6E"/>
    <w:rsid w:val="00720E80"/>
    <w:rsid w:val="00720EA9"/>
    <w:rsid w:val="0072119E"/>
    <w:rsid w:val="00721238"/>
    <w:rsid w:val="00721263"/>
    <w:rsid w:val="007212AF"/>
    <w:rsid w:val="00721539"/>
    <w:rsid w:val="007215C0"/>
    <w:rsid w:val="0072164E"/>
    <w:rsid w:val="00721BB8"/>
    <w:rsid w:val="00721C1C"/>
    <w:rsid w:val="00721CAD"/>
    <w:rsid w:val="00721E0E"/>
    <w:rsid w:val="00721F12"/>
    <w:rsid w:val="00721F19"/>
    <w:rsid w:val="00721F9C"/>
    <w:rsid w:val="0072203F"/>
    <w:rsid w:val="0072212A"/>
    <w:rsid w:val="0072212C"/>
    <w:rsid w:val="0072217B"/>
    <w:rsid w:val="007222DE"/>
    <w:rsid w:val="00722701"/>
    <w:rsid w:val="007227E3"/>
    <w:rsid w:val="00722819"/>
    <w:rsid w:val="007229FD"/>
    <w:rsid w:val="00722DF6"/>
    <w:rsid w:val="00722FE9"/>
    <w:rsid w:val="00723197"/>
    <w:rsid w:val="00723254"/>
    <w:rsid w:val="0072326C"/>
    <w:rsid w:val="007233EC"/>
    <w:rsid w:val="00723531"/>
    <w:rsid w:val="007237D9"/>
    <w:rsid w:val="00723A4D"/>
    <w:rsid w:val="00723A94"/>
    <w:rsid w:val="00723AF3"/>
    <w:rsid w:val="00723CA7"/>
    <w:rsid w:val="00724105"/>
    <w:rsid w:val="00724193"/>
    <w:rsid w:val="007242BE"/>
    <w:rsid w:val="00724321"/>
    <w:rsid w:val="00724359"/>
    <w:rsid w:val="007243DF"/>
    <w:rsid w:val="00724577"/>
    <w:rsid w:val="007246A2"/>
    <w:rsid w:val="007246CA"/>
    <w:rsid w:val="00724725"/>
    <w:rsid w:val="0072492B"/>
    <w:rsid w:val="00724AD5"/>
    <w:rsid w:val="00724BC0"/>
    <w:rsid w:val="00724C8C"/>
    <w:rsid w:val="00724D5F"/>
    <w:rsid w:val="00724E5B"/>
    <w:rsid w:val="00724E74"/>
    <w:rsid w:val="00724E84"/>
    <w:rsid w:val="00724F68"/>
    <w:rsid w:val="0072511E"/>
    <w:rsid w:val="007252DC"/>
    <w:rsid w:val="00725720"/>
    <w:rsid w:val="00725780"/>
    <w:rsid w:val="00725B9A"/>
    <w:rsid w:val="00725BB2"/>
    <w:rsid w:val="00725EC6"/>
    <w:rsid w:val="007263F8"/>
    <w:rsid w:val="007265EF"/>
    <w:rsid w:val="007266AD"/>
    <w:rsid w:val="00726779"/>
    <w:rsid w:val="00726BAB"/>
    <w:rsid w:val="00726FB8"/>
    <w:rsid w:val="00727222"/>
    <w:rsid w:val="007273C8"/>
    <w:rsid w:val="007275C8"/>
    <w:rsid w:val="0072782D"/>
    <w:rsid w:val="00727B0F"/>
    <w:rsid w:val="0073040B"/>
    <w:rsid w:val="00730487"/>
    <w:rsid w:val="00730650"/>
    <w:rsid w:val="00730665"/>
    <w:rsid w:val="007306F3"/>
    <w:rsid w:val="00730D6D"/>
    <w:rsid w:val="00731071"/>
    <w:rsid w:val="00731B2E"/>
    <w:rsid w:val="00731B51"/>
    <w:rsid w:val="00731EB0"/>
    <w:rsid w:val="00731EE2"/>
    <w:rsid w:val="00732216"/>
    <w:rsid w:val="007323BF"/>
    <w:rsid w:val="00732539"/>
    <w:rsid w:val="00732661"/>
    <w:rsid w:val="007327AE"/>
    <w:rsid w:val="00732842"/>
    <w:rsid w:val="00732970"/>
    <w:rsid w:val="00732D6C"/>
    <w:rsid w:val="00732F60"/>
    <w:rsid w:val="00732FA6"/>
    <w:rsid w:val="007330D8"/>
    <w:rsid w:val="0073323F"/>
    <w:rsid w:val="007333F3"/>
    <w:rsid w:val="007335E0"/>
    <w:rsid w:val="0073367A"/>
    <w:rsid w:val="007336C2"/>
    <w:rsid w:val="007336D0"/>
    <w:rsid w:val="00733805"/>
    <w:rsid w:val="00733A4D"/>
    <w:rsid w:val="00733D38"/>
    <w:rsid w:val="0073430B"/>
    <w:rsid w:val="00734624"/>
    <w:rsid w:val="0073483B"/>
    <w:rsid w:val="007349A7"/>
    <w:rsid w:val="00734C1C"/>
    <w:rsid w:val="00734EFD"/>
    <w:rsid w:val="00735136"/>
    <w:rsid w:val="007351F6"/>
    <w:rsid w:val="007352A2"/>
    <w:rsid w:val="00735476"/>
    <w:rsid w:val="0073554C"/>
    <w:rsid w:val="007355A9"/>
    <w:rsid w:val="0073579B"/>
    <w:rsid w:val="00735D15"/>
    <w:rsid w:val="00735EA3"/>
    <w:rsid w:val="00735F77"/>
    <w:rsid w:val="00735F96"/>
    <w:rsid w:val="0073615C"/>
    <w:rsid w:val="00736208"/>
    <w:rsid w:val="007363B8"/>
    <w:rsid w:val="007363CA"/>
    <w:rsid w:val="00736462"/>
    <w:rsid w:val="007364A8"/>
    <w:rsid w:val="00736529"/>
    <w:rsid w:val="007367BE"/>
    <w:rsid w:val="00736BF8"/>
    <w:rsid w:val="00736D83"/>
    <w:rsid w:val="00737157"/>
    <w:rsid w:val="0073728F"/>
    <w:rsid w:val="00737343"/>
    <w:rsid w:val="007376B9"/>
    <w:rsid w:val="007376D4"/>
    <w:rsid w:val="00737726"/>
    <w:rsid w:val="007378AF"/>
    <w:rsid w:val="00737A2B"/>
    <w:rsid w:val="00737A66"/>
    <w:rsid w:val="00737C0D"/>
    <w:rsid w:val="00737DD1"/>
    <w:rsid w:val="00737E6E"/>
    <w:rsid w:val="007401D3"/>
    <w:rsid w:val="007402A3"/>
    <w:rsid w:val="0074041D"/>
    <w:rsid w:val="007406A5"/>
    <w:rsid w:val="00740796"/>
    <w:rsid w:val="00740842"/>
    <w:rsid w:val="0074086D"/>
    <w:rsid w:val="00740A67"/>
    <w:rsid w:val="00740BB0"/>
    <w:rsid w:val="00740D91"/>
    <w:rsid w:val="00740DAB"/>
    <w:rsid w:val="00740E67"/>
    <w:rsid w:val="00740FAE"/>
    <w:rsid w:val="0074107F"/>
    <w:rsid w:val="007415D2"/>
    <w:rsid w:val="0074168D"/>
    <w:rsid w:val="007417D7"/>
    <w:rsid w:val="00741836"/>
    <w:rsid w:val="00741928"/>
    <w:rsid w:val="00741C1D"/>
    <w:rsid w:val="00741DBC"/>
    <w:rsid w:val="00741F2A"/>
    <w:rsid w:val="00742029"/>
    <w:rsid w:val="00742304"/>
    <w:rsid w:val="00742440"/>
    <w:rsid w:val="007425B0"/>
    <w:rsid w:val="00742710"/>
    <w:rsid w:val="007429E0"/>
    <w:rsid w:val="00742C16"/>
    <w:rsid w:val="00742C96"/>
    <w:rsid w:val="00742D1D"/>
    <w:rsid w:val="00742DD3"/>
    <w:rsid w:val="00742F1E"/>
    <w:rsid w:val="00742F6C"/>
    <w:rsid w:val="007430A3"/>
    <w:rsid w:val="00743506"/>
    <w:rsid w:val="007436A1"/>
    <w:rsid w:val="00743814"/>
    <w:rsid w:val="0074386B"/>
    <w:rsid w:val="0074397E"/>
    <w:rsid w:val="007439CE"/>
    <w:rsid w:val="00743B80"/>
    <w:rsid w:val="00743C63"/>
    <w:rsid w:val="00743E08"/>
    <w:rsid w:val="00743FA5"/>
    <w:rsid w:val="00744750"/>
    <w:rsid w:val="00744E7B"/>
    <w:rsid w:val="007451B0"/>
    <w:rsid w:val="00745215"/>
    <w:rsid w:val="007452E3"/>
    <w:rsid w:val="0074533D"/>
    <w:rsid w:val="0074534B"/>
    <w:rsid w:val="0074560E"/>
    <w:rsid w:val="007456D3"/>
    <w:rsid w:val="007456F4"/>
    <w:rsid w:val="007457E4"/>
    <w:rsid w:val="00745918"/>
    <w:rsid w:val="00745A9D"/>
    <w:rsid w:val="00745CA9"/>
    <w:rsid w:val="00745CC0"/>
    <w:rsid w:val="00745D04"/>
    <w:rsid w:val="00745F20"/>
    <w:rsid w:val="00746096"/>
    <w:rsid w:val="007464C3"/>
    <w:rsid w:val="00746564"/>
    <w:rsid w:val="0074659C"/>
    <w:rsid w:val="007466C4"/>
    <w:rsid w:val="00746725"/>
    <w:rsid w:val="00746727"/>
    <w:rsid w:val="00746966"/>
    <w:rsid w:val="00746BA4"/>
    <w:rsid w:val="00746E2E"/>
    <w:rsid w:val="007472C7"/>
    <w:rsid w:val="00747358"/>
    <w:rsid w:val="00747620"/>
    <w:rsid w:val="00747908"/>
    <w:rsid w:val="00747BCF"/>
    <w:rsid w:val="00747D57"/>
    <w:rsid w:val="00747E2B"/>
    <w:rsid w:val="0075035C"/>
    <w:rsid w:val="0075038C"/>
    <w:rsid w:val="00750492"/>
    <w:rsid w:val="007506AF"/>
    <w:rsid w:val="0075084F"/>
    <w:rsid w:val="0075094A"/>
    <w:rsid w:val="00750A13"/>
    <w:rsid w:val="00750A34"/>
    <w:rsid w:val="00750A5B"/>
    <w:rsid w:val="00750AD5"/>
    <w:rsid w:val="00750B4F"/>
    <w:rsid w:val="00750BAB"/>
    <w:rsid w:val="00750BEF"/>
    <w:rsid w:val="00750C51"/>
    <w:rsid w:val="00750CD5"/>
    <w:rsid w:val="00750E08"/>
    <w:rsid w:val="00750EEB"/>
    <w:rsid w:val="007510CB"/>
    <w:rsid w:val="007510CF"/>
    <w:rsid w:val="00751273"/>
    <w:rsid w:val="007513BA"/>
    <w:rsid w:val="0075163D"/>
    <w:rsid w:val="007516BD"/>
    <w:rsid w:val="00751A3C"/>
    <w:rsid w:val="00751E2C"/>
    <w:rsid w:val="00752030"/>
    <w:rsid w:val="00752245"/>
    <w:rsid w:val="007522B9"/>
    <w:rsid w:val="007522E8"/>
    <w:rsid w:val="00752662"/>
    <w:rsid w:val="00752A38"/>
    <w:rsid w:val="00752B02"/>
    <w:rsid w:val="00752BE1"/>
    <w:rsid w:val="0075315B"/>
    <w:rsid w:val="0075321D"/>
    <w:rsid w:val="00753260"/>
    <w:rsid w:val="00753322"/>
    <w:rsid w:val="00753404"/>
    <w:rsid w:val="00753507"/>
    <w:rsid w:val="0075390D"/>
    <w:rsid w:val="00753BE7"/>
    <w:rsid w:val="00753D76"/>
    <w:rsid w:val="00753F33"/>
    <w:rsid w:val="00753F88"/>
    <w:rsid w:val="007541B8"/>
    <w:rsid w:val="00754E32"/>
    <w:rsid w:val="00754F93"/>
    <w:rsid w:val="007550AD"/>
    <w:rsid w:val="00755266"/>
    <w:rsid w:val="007558EF"/>
    <w:rsid w:val="00755DA5"/>
    <w:rsid w:val="00755ECD"/>
    <w:rsid w:val="00755F82"/>
    <w:rsid w:val="007562A8"/>
    <w:rsid w:val="00756372"/>
    <w:rsid w:val="00756402"/>
    <w:rsid w:val="0075648C"/>
    <w:rsid w:val="0075670B"/>
    <w:rsid w:val="00756F66"/>
    <w:rsid w:val="00756F77"/>
    <w:rsid w:val="00757058"/>
    <w:rsid w:val="00757159"/>
    <w:rsid w:val="0075716E"/>
    <w:rsid w:val="007571CB"/>
    <w:rsid w:val="0075726B"/>
    <w:rsid w:val="00757508"/>
    <w:rsid w:val="0075755C"/>
    <w:rsid w:val="007575BB"/>
    <w:rsid w:val="0075768B"/>
    <w:rsid w:val="0075774B"/>
    <w:rsid w:val="007577BE"/>
    <w:rsid w:val="00757896"/>
    <w:rsid w:val="007578A4"/>
    <w:rsid w:val="00757A66"/>
    <w:rsid w:val="00757BEC"/>
    <w:rsid w:val="00757FB2"/>
    <w:rsid w:val="00760040"/>
    <w:rsid w:val="007601AF"/>
    <w:rsid w:val="007601F4"/>
    <w:rsid w:val="007602F5"/>
    <w:rsid w:val="007603C2"/>
    <w:rsid w:val="00760520"/>
    <w:rsid w:val="00760797"/>
    <w:rsid w:val="007609E0"/>
    <w:rsid w:val="00760BA3"/>
    <w:rsid w:val="00760C6D"/>
    <w:rsid w:val="00760CC0"/>
    <w:rsid w:val="00760DDA"/>
    <w:rsid w:val="007611A7"/>
    <w:rsid w:val="0076137A"/>
    <w:rsid w:val="00761548"/>
    <w:rsid w:val="0076157B"/>
    <w:rsid w:val="007618C0"/>
    <w:rsid w:val="00761A89"/>
    <w:rsid w:val="00761ABE"/>
    <w:rsid w:val="00761B18"/>
    <w:rsid w:val="00761B73"/>
    <w:rsid w:val="00761C72"/>
    <w:rsid w:val="00761C97"/>
    <w:rsid w:val="00761FD3"/>
    <w:rsid w:val="0076206D"/>
    <w:rsid w:val="00762209"/>
    <w:rsid w:val="007629BF"/>
    <w:rsid w:val="00762B7A"/>
    <w:rsid w:val="00762C83"/>
    <w:rsid w:val="00762CAA"/>
    <w:rsid w:val="00762FE7"/>
    <w:rsid w:val="0076301D"/>
    <w:rsid w:val="00763166"/>
    <w:rsid w:val="007631B8"/>
    <w:rsid w:val="00763288"/>
    <w:rsid w:val="007632A1"/>
    <w:rsid w:val="007634E1"/>
    <w:rsid w:val="00763519"/>
    <w:rsid w:val="0076366A"/>
    <w:rsid w:val="00763920"/>
    <w:rsid w:val="00763A3D"/>
    <w:rsid w:val="00763CA6"/>
    <w:rsid w:val="00763CB8"/>
    <w:rsid w:val="00763D07"/>
    <w:rsid w:val="00763D11"/>
    <w:rsid w:val="00763D9F"/>
    <w:rsid w:val="00763E5A"/>
    <w:rsid w:val="007641CB"/>
    <w:rsid w:val="0076430C"/>
    <w:rsid w:val="007643EC"/>
    <w:rsid w:val="007646EB"/>
    <w:rsid w:val="00764A2E"/>
    <w:rsid w:val="00764A5A"/>
    <w:rsid w:val="00764E67"/>
    <w:rsid w:val="00764EF0"/>
    <w:rsid w:val="00765191"/>
    <w:rsid w:val="0076559B"/>
    <w:rsid w:val="007655DB"/>
    <w:rsid w:val="007655DD"/>
    <w:rsid w:val="007656A2"/>
    <w:rsid w:val="007658DA"/>
    <w:rsid w:val="00765A8D"/>
    <w:rsid w:val="00765EA9"/>
    <w:rsid w:val="00766020"/>
    <w:rsid w:val="007660C4"/>
    <w:rsid w:val="007663D9"/>
    <w:rsid w:val="0076677B"/>
    <w:rsid w:val="007667CF"/>
    <w:rsid w:val="00766812"/>
    <w:rsid w:val="0076682D"/>
    <w:rsid w:val="007668E2"/>
    <w:rsid w:val="00766925"/>
    <w:rsid w:val="00766C16"/>
    <w:rsid w:val="00766E65"/>
    <w:rsid w:val="00766FA3"/>
    <w:rsid w:val="007670D5"/>
    <w:rsid w:val="007670E5"/>
    <w:rsid w:val="0076721E"/>
    <w:rsid w:val="0076725C"/>
    <w:rsid w:val="00767583"/>
    <w:rsid w:val="007678F7"/>
    <w:rsid w:val="00767B28"/>
    <w:rsid w:val="00767B6A"/>
    <w:rsid w:val="00767C8E"/>
    <w:rsid w:val="00767EE7"/>
    <w:rsid w:val="0077043F"/>
    <w:rsid w:val="00770455"/>
    <w:rsid w:val="007706AC"/>
    <w:rsid w:val="007706DB"/>
    <w:rsid w:val="00770729"/>
    <w:rsid w:val="007707FC"/>
    <w:rsid w:val="007708DC"/>
    <w:rsid w:val="00770AF3"/>
    <w:rsid w:val="00770BB4"/>
    <w:rsid w:val="00770BEA"/>
    <w:rsid w:val="00771106"/>
    <w:rsid w:val="00771238"/>
    <w:rsid w:val="007718D0"/>
    <w:rsid w:val="00771C25"/>
    <w:rsid w:val="00771D8F"/>
    <w:rsid w:val="00771F17"/>
    <w:rsid w:val="00771F42"/>
    <w:rsid w:val="00771F48"/>
    <w:rsid w:val="00771F4F"/>
    <w:rsid w:val="007721D3"/>
    <w:rsid w:val="0077240E"/>
    <w:rsid w:val="007724E4"/>
    <w:rsid w:val="00772589"/>
    <w:rsid w:val="00772647"/>
    <w:rsid w:val="0077282E"/>
    <w:rsid w:val="0077283A"/>
    <w:rsid w:val="007728D3"/>
    <w:rsid w:val="00772937"/>
    <w:rsid w:val="00772CE9"/>
    <w:rsid w:val="00772D91"/>
    <w:rsid w:val="00772EF0"/>
    <w:rsid w:val="0077314B"/>
    <w:rsid w:val="0077348E"/>
    <w:rsid w:val="00773A05"/>
    <w:rsid w:val="00773A93"/>
    <w:rsid w:val="00773BE0"/>
    <w:rsid w:val="00773CAC"/>
    <w:rsid w:val="00773D35"/>
    <w:rsid w:val="00773DB5"/>
    <w:rsid w:val="007746EA"/>
    <w:rsid w:val="00774C13"/>
    <w:rsid w:val="00774C5D"/>
    <w:rsid w:val="00774EB9"/>
    <w:rsid w:val="00774FB1"/>
    <w:rsid w:val="0077514E"/>
    <w:rsid w:val="007751FF"/>
    <w:rsid w:val="007752D8"/>
    <w:rsid w:val="007753D2"/>
    <w:rsid w:val="00775528"/>
    <w:rsid w:val="007755AC"/>
    <w:rsid w:val="00775716"/>
    <w:rsid w:val="00775D86"/>
    <w:rsid w:val="00775E51"/>
    <w:rsid w:val="00776085"/>
    <w:rsid w:val="00776094"/>
    <w:rsid w:val="007761DE"/>
    <w:rsid w:val="00776282"/>
    <w:rsid w:val="007762A0"/>
    <w:rsid w:val="007762D2"/>
    <w:rsid w:val="0077641A"/>
    <w:rsid w:val="007764E8"/>
    <w:rsid w:val="0077659A"/>
    <w:rsid w:val="00776644"/>
    <w:rsid w:val="007767EB"/>
    <w:rsid w:val="007768AD"/>
    <w:rsid w:val="0077690D"/>
    <w:rsid w:val="007769F5"/>
    <w:rsid w:val="00776C5D"/>
    <w:rsid w:val="00776FC6"/>
    <w:rsid w:val="0077724F"/>
    <w:rsid w:val="00777482"/>
    <w:rsid w:val="00777B94"/>
    <w:rsid w:val="00777BDF"/>
    <w:rsid w:val="00777CEC"/>
    <w:rsid w:val="0078000E"/>
    <w:rsid w:val="007800BA"/>
    <w:rsid w:val="007803EA"/>
    <w:rsid w:val="0078078D"/>
    <w:rsid w:val="00780815"/>
    <w:rsid w:val="00780889"/>
    <w:rsid w:val="007808E0"/>
    <w:rsid w:val="00780903"/>
    <w:rsid w:val="00780F8F"/>
    <w:rsid w:val="00780F90"/>
    <w:rsid w:val="0078116B"/>
    <w:rsid w:val="007811FF"/>
    <w:rsid w:val="007817A4"/>
    <w:rsid w:val="00781B36"/>
    <w:rsid w:val="00781C7F"/>
    <w:rsid w:val="00781D5E"/>
    <w:rsid w:val="00781E21"/>
    <w:rsid w:val="00781FCF"/>
    <w:rsid w:val="007820E8"/>
    <w:rsid w:val="00782126"/>
    <w:rsid w:val="00782613"/>
    <w:rsid w:val="007827B2"/>
    <w:rsid w:val="00782F6C"/>
    <w:rsid w:val="0078338B"/>
    <w:rsid w:val="00783503"/>
    <w:rsid w:val="007837B0"/>
    <w:rsid w:val="0078386E"/>
    <w:rsid w:val="00783934"/>
    <w:rsid w:val="00783BF9"/>
    <w:rsid w:val="00783CC5"/>
    <w:rsid w:val="007844BF"/>
    <w:rsid w:val="0078453F"/>
    <w:rsid w:val="00784578"/>
    <w:rsid w:val="00784632"/>
    <w:rsid w:val="00784689"/>
    <w:rsid w:val="007847D6"/>
    <w:rsid w:val="00784951"/>
    <w:rsid w:val="007849BD"/>
    <w:rsid w:val="00784A29"/>
    <w:rsid w:val="007851A4"/>
    <w:rsid w:val="007851AE"/>
    <w:rsid w:val="00785290"/>
    <w:rsid w:val="007853A1"/>
    <w:rsid w:val="007854F7"/>
    <w:rsid w:val="00785613"/>
    <w:rsid w:val="0078563D"/>
    <w:rsid w:val="007856A7"/>
    <w:rsid w:val="00785837"/>
    <w:rsid w:val="007859ED"/>
    <w:rsid w:val="00785AE4"/>
    <w:rsid w:val="00785BE7"/>
    <w:rsid w:val="00785CA6"/>
    <w:rsid w:val="007860C2"/>
    <w:rsid w:val="00786351"/>
    <w:rsid w:val="007865B3"/>
    <w:rsid w:val="007865BE"/>
    <w:rsid w:val="00786741"/>
    <w:rsid w:val="00786777"/>
    <w:rsid w:val="00786779"/>
    <w:rsid w:val="0078680A"/>
    <w:rsid w:val="0078680F"/>
    <w:rsid w:val="00786884"/>
    <w:rsid w:val="00786895"/>
    <w:rsid w:val="00786990"/>
    <w:rsid w:val="007869BF"/>
    <w:rsid w:val="00786B5D"/>
    <w:rsid w:val="00786CD4"/>
    <w:rsid w:val="00786D93"/>
    <w:rsid w:val="00786EB7"/>
    <w:rsid w:val="00787718"/>
    <w:rsid w:val="007877DB"/>
    <w:rsid w:val="007877F2"/>
    <w:rsid w:val="00787828"/>
    <w:rsid w:val="00787916"/>
    <w:rsid w:val="00787A76"/>
    <w:rsid w:val="00787B35"/>
    <w:rsid w:val="00787C06"/>
    <w:rsid w:val="00787EF0"/>
    <w:rsid w:val="0079002D"/>
    <w:rsid w:val="00790072"/>
    <w:rsid w:val="00790091"/>
    <w:rsid w:val="00790259"/>
    <w:rsid w:val="0079028B"/>
    <w:rsid w:val="007903FC"/>
    <w:rsid w:val="007905A0"/>
    <w:rsid w:val="00790874"/>
    <w:rsid w:val="00790911"/>
    <w:rsid w:val="007909E0"/>
    <w:rsid w:val="00790E35"/>
    <w:rsid w:val="007911EC"/>
    <w:rsid w:val="0079121D"/>
    <w:rsid w:val="00791249"/>
    <w:rsid w:val="007912BA"/>
    <w:rsid w:val="007912BB"/>
    <w:rsid w:val="0079140A"/>
    <w:rsid w:val="00791565"/>
    <w:rsid w:val="0079175F"/>
    <w:rsid w:val="0079176D"/>
    <w:rsid w:val="00791BDA"/>
    <w:rsid w:val="00791D2A"/>
    <w:rsid w:val="00791DBC"/>
    <w:rsid w:val="00791E8A"/>
    <w:rsid w:val="00791F65"/>
    <w:rsid w:val="007921BA"/>
    <w:rsid w:val="0079267D"/>
    <w:rsid w:val="00792809"/>
    <w:rsid w:val="00792835"/>
    <w:rsid w:val="00792B9A"/>
    <w:rsid w:val="00792BA0"/>
    <w:rsid w:val="00792EDA"/>
    <w:rsid w:val="007931D3"/>
    <w:rsid w:val="0079346E"/>
    <w:rsid w:val="007936CF"/>
    <w:rsid w:val="0079396F"/>
    <w:rsid w:val="007939CE"/>
    <w:rsid w:val="00793BB2"/>
    <w:rsid w:val="00793C9E"/>
    <w:rsid w:val="00793D83"/>
    <w:rsid w:val="00794138"/>
    <w:rsid w:val="007943A1"/>
    <w:rsid w:val="0079440B"/>
    <w:rsid w:val="00794576"/>
    <w:rsid w:val="007945A4"/>
    <w:rsid w:val="007948A3"/>
    <w:rsid w:val="00794AA8"/>
    <w:rsid w:val="00794ADB"/>
    <w:rsid w:val="00794DB0"/>
    <w:rsid w:val="00794F2B"/>
    <w:rsid w:val="007952DD"/>
    <w:rsid w:val="00795528"/>
    <w:rsid w:val="0079553D"/>
    <w:rsid w:val="007957C4"/>
    <w:rsid w:val="00795DA2"/>
    <w:rsid w:val="00795DC8"/>
    <w:rsid w:val="00796331"/>
    <w:rsid w:val="00796576"/>
    <w:rsid w:val="0079664A"/>
    <w:rsid w:val="00796921"/>
    <w:rsid w:val="00796A0B"/>
    <w:rsid w:val="00796D00"/>
    <w:rsid w:val="0079731E"/>
    <w:rsid w:val="007975EE"/>
    <w:rsid w:val="00797818"/>
    <w:rsid w:val="007978A1"/>
    <w:rsid w:val="007978B8"/>
    <w:rsid w:val="00797A3B"/>
    <w:rsid w:val="00797C64"/>
    <w:rsid w:val="00797D81"/>
    <w:rsid w:val="007A02BB"/>
    <w:rsid w:val="007A04D6"/>
    <w:rsid w:val="007A05E8"/>
    <w:rsid w:val="007A0631"/>
    <w:rsid w:val="007A06BD"/>
    <w:rsid w:val="007A0715"/>
    <w:rsid w:val="007A07B8"/>
    <w:rsid w:val="007A091F"/>
    <w:rsid w:val="007A0B4A"/>
    <w:rsid w:val="007A0B5D"/>
    <w:rsid w:val="007A0C34"/>
    <w:rsid w:val="007A1143"/>
    <w:rsid w:val="007A1317"/>
    <w:rsid w:val="007A1695"/>
    <w:rsid w:val="007A1732"/>
    <w:rsid w:val="007A1800"/>
    <w:rsid w:val="007A1873"/>
    <w:rsid w:val="007A1946"/>
    <w:rsid w:val="007A1A6F"/>
    <w:rsid w:val="007A1FDD"/>
    <w:rsid w:val="007A2180"/>
    <w:rsid w:val="007A21C7"/>
    <w:rsid w:val="007A2286"/>
    <w:rsid w:val="007A2306"/>
    <w:rsid w:val="007A2445"/>
    <w:rsid w:val="007A267B"/>
    <w:rsid w:val="007A27E8"/>
    <w:rsid w:val="007A27F5"/>
    <w:rsid w:val="007A2818"/>
    <w:rsid w:val="007A2837"/>
    <w:rsid w:val="007A2D6E"/>
    <w:rsid w:val="007A312B"/>
    <w:rsid w:val="007A31CB"/>
    <w:rsid w:val="007A356B"/>
    <w:rsid w:val="007A35E0"/>
    <w:rsid w:val="007A39C9"/>
    <w:rsid w:val="007A3AA2"/>
    <w:rsid w:val="007A3ABA"/>
    <w:rsid w:val="007A3B47"/>
    <w:rsid w:val="007A3BD9"/>
    <w:rsid w:val="007A4270"/>
    <w:rsid w:val="007A4322"/>
    <w:rsid w:val="007A43C1"/>
    <w:rsid w:val="007A464A"/>
    <w:rsid w:val="007A4757"/>
    <w:rsid w:val="007A4818"/>
    <w:rsid w:val="007A4CB8"/>
    <w:rsid w:val="007A4E47"/>
    <w:rsid w:val="007A50EC"/>
    <w:rsid w:val="007A516F"/>
    <w:rsid w:val="007A51A0"/>
    <w:rsid w:val="007A5311"/>
    <w:rsid w:val="007A539F"/>
    <w:rsid w:val="007A5401"/>
    <w:rsid w:val="007A5482"/>
    <w:rsid w:val="007A5B31"/>
    <w:rsid w:val="007A5C16"/>
    <w:rsid w:val="007A5E32"/>
    <w:rsid w:val="007A5E7D"/>
    <w:rsid w:val="007A6073"/>
    <w:rsid w:val="007A623E"/>
    <w:rsid w:val="007A6ABA"/>
    <w:rsid w:val="007A6CC1"/>
    <w:rsid w:val="007A6CE1"/>
    <w:rsid w:val="007A6D7C"/>
    <w:rsid w:val="007A6E9E"/>
    <w:rsid w:val="007A6ECF"/>
    <w:rsid w:val="007A6F24"/>
    <w:rsid w:val="007A6FE9"/>
    <w:rsid w:val="007A703E"/>
    <w:rsid w:val="007A715B"/>
    <w:rsid w:val="007A71FD"/>
    <w:rsid w:val="007A72CD"/>
    <w:rsid w:val="007A7340"/>
    <w:rsid w:val="007A77DA"/>
    <w:rsid w:val="007A7949"/>
    <w:rsid w:val="007A7AEA"/>
    <w:rsid w:val="007A7B1C"/>
    <w:rsid w:val="007B0158"/>
    <w:rsid w:val="007B01E1"/>
    <w:rsid w:val="007B0242"/>
    <w:rsid w:val="007B02EC"/>
    <w:rsid w:val="007B0716"/>
    <w:rsid w:val="007B0761"/>
    <w:rsid w:val="007B09D1"/>
    <w:rsid w:val="007B0BA1"/>
    <w:rsid w:val="007B0D70"/>
    <w:rsid w:val="007B0D8C"/>
    <w:rsid w:val="007B0E96"/>
    <w:rsid w:val="007B0EFF"/>
    <w:rsid w:val="007B0F67"/>
    <w:rsid w:val="007B12EC"/>
    <w:rsid w:val="007B130D"/>
    <w:rsid w:val="007B1319"/>
    <w:rsid w:val="007B142D"/>
    <w:rsid w:val="007B165B"/>
    <w:rsid w:val="007B1A7D"/>
    <w:rsid w:val="007B1B8B"/>
    <w:rsid w:val="007B1C3D"/>
    <w:rsid w:val="007B1FB0"/>
    <w:rsid w:val="007B2297"/>
    <w:rsid w:val="007B23C6"/>
    <w:rsid w:val="007B23D8"/>
    <w:rsid w:val="007B25CD"/>
    <w:rsid w:val="007B25D5"/>
    <w:rsid w:val="007B2674"/>
    <w:rsid w:val="007B2766"/>
    <w:rsid w:val="007B2840"/>
    <w:rsid w:val="007B2AD9"/>
    <w:rsid w:val="007B2DC6"/>
    <w:rsid w:val="007B2EFF"/>
    <w:rsid w:val="007B2FEC"/>
    <w:rsid w:val="007B30CB"/>
    <w:rsid w:val="007B31C4"/>
    <w:rsid w:val="007B3420"/>
    <w:rsid w:val="007B3697"/>
    <w:rsid w:val="007B3729"/>
    <w:rsid w:val="007B3B24"/>
    <w:rsid w:val="007B3CE7"/>
    <w:rsid w:val="007B3D1B"/>
    <w:rsid w:val="007B3D76"/>
    <w:rsid w:val="007B3DB8"/>
    <w:rsid w:val="007B3E79"/>
    <w:rsid w:val="007B3EAB"/>
    <w:rsid w:val="007B40CC"/>
    <w:rsid w:val="007B419B"/>
    <w:rsid w:val="007B42D2"/>
    <w:rsid w:val="007B4750"/>
    <w:rsid w:val="007B4887"/>
    <w:rsid w:val="007B4CCB"/>
    <w:rsid w:val="007B4D0E"/>
    <w:rsid w:val="007B4E2C"/>
    <w:rsid w:val="007B5099"/>
    <w:rsid w:val="007B5162"/>
    <w:rsid w:val="007B5308"/>
    <w:rsid w:val="007B5635"/>
    <w:rsid w:val="007B57B1"/>
    <w:rsid w:val="007B59D4"/>
    <w:rsid w:val="007B5ADA"/>
    <w:rsid w:val="007B5D71"/>
    <w:rsid w:val="007B5E70"/>
    <w:rsid w:val="007B5EB7"/>
    <w:rsid w:val="007B5EC2"/>
    <w:rsid w:val="007B644F"/>
    <w:rsid w:val="007B674F"/>
    <w:rsid w:val="007B6984"/>
    <w:rsid w:val="007B69FD"/>
    <w:rsid w:val="007B6A7B"/>
    <w:rsid w:val="007B6B7A"/>
    <w:rsid w:val="007B6E16"/>
    <w:rsid w:val="007B764A"/>
    <w:rsid w:val="007B771E"/>
    <w:rsid w:val="007B7884"/>
    <w:rsid w:val="007B7913"/>
    <w:rsid w:val="007C02BF"/>
    <w:rsid w:val="007C0831"/>
    <w:rsid w:val="007C086C"/>
    <w:rsid w:val="007C0940"/>
    <w:rsid w:val="007C09EE"/>
    <w:rsid w:val="007C0E94"/>
    <w:rsid w:val="007C1016"/>
    <w:rsid w:val="007C109C"/>
    <w:rsid w:val="007C158F"/>
    <w:rsid w:val="007C16C4"/>
    <w:rsid w:val="007C17EE"/>
    <w:rsid w:val="007C1818"/>
    <w:rsid w:val="007C1993"/>
    <w:rsid w:val="007C2CC7"/>
    <w:rsid w:val="007C2D56"/>
    <w:rsid w:val="007C2E8E"/>
    <w:rsid w:val="007C31F8"/>
    <w:rsid w:val="007C34DA"/>
    <w:rsid w:val="007C368F"/>
    <w:rsid w:val="007C3A1F"/>
    <w:rsid w:val="007C3D25"/>
    <w:rsid w:val="007C40CC"/>
    <w:rsid w:val="007C40FB"/>
    <w:rsid w:val="007C42FA"/>
    <w:rsid w:val="007C46F4"/>
    <w:rsid w:val="007C472C"/>
    <w:rsid w:val="007C47ED"/>
    <w:rsid w:val="007C4A79"/>
    <w:rsid w:val="007C4A91"/>
    <w:rsid w:val="007C4E2E"/>
    <w:rsid w:val="007C514B"/>
    <w:rsid w:val="007C5329"/>
    <w:rsid w:val="007C533E"/>
    <w:rsid w:val="007C539C"/>
    <w:rsid w:val="007C5CE7"/>
    <w:rsid w:val="007C5D5C"/>
    <w:rsid w:val="007C5D8B"/>
    <w:rsid w:val="007C5FEC"/>
    <w:rsid w:val="007C6199"/>
    <w:rsid w:val="007C6217"/>
    <w:rsid w:val="007C6494"/>
    <w:rsid w:val="007C6847"/>
    <w:rsid w:val="007C6A48"/>
    <w:rsid w:val="007C6ABC"/>
    <w:rsid w:val="007C6BB9"/>
    <w:rsid w:val="007C6C53"/>
    <w:rsid w:val="007C6E9B"/>
    <w:rsid w:val="007C74B3"/>
    <w:rsid w:val="007C7CC5"/>
    <w:rsid w:val="007D0098"/>
    <w:rsid w:val="007D0349"/>
    <w:rsid w:val="007D0563"/>
    <w:rsid w:val="007D05A2"/>
    <w:rsid w:val="007D0750"/>
    <w:rsid w:val="007D0801"/>
    <w:rsid w:val="007D08F4"/>
    <w:rsid w:val="007D0934"/>
    <w:rsid w:val="007D0945"/>
    <w:rsid w:val="007D0CD8"/>
    <w:rsid w:val="007D0D4B"/>
    <w:rsid w:val="007D0D6A"/>
    <w:rsid w:val="007D0D8A"/>
    <w:rsid w:val="007D100B"/>
    <w:rsid w:val="007D108A"/>
    <w:rsid w:val="007D110F"/>
    <w:rsid w:val="007D118C"/>
    <w:rsid w:val="007D12E7"/>
    <w:rsid w:val="007D15DB"/>
    <w:rsid w:val="007D1BEA"/>
    <w:rsid w:val="007D1D68"/>
    <w:rsid w:val="007D1DA7"/>
    <w:rsid w:val="007D1E51"/>
    <w:rsid w:val="007D1EEA"/>
    <w:rsid w:val="007D1FE4"/>
    <w:rsid w:val="007D2811"/>
    <w:rsid w:val="007D2856"/>
    <w:rsid w:val="007D2AA9"/>
    <w:rsid w:val="007D2CA7"/>
    <w:rsid w:val="007D2DB3"/>
    <w:rsid w:val="007D2E8E"/>
    <w:rsid w:val="007D2EF1"/>
    <w:rsid w:val="007D2F22"/>
    <w:rsid w:val="007D3465"/>
    <w:rsid w:val="007D3864"/>
    <w:rsid w:val="007D3B41"/>
    <w:rsid w:val="007D3CDB"/>
    <w:rsid w:val="007D3D13"/>
    <w:rsid w:val="007D3ED0"/>
    <w:rsid w:val="007D3FE6"/>
    <w:rsid w:val="007D436F"/>
    <w:rsid w:val="007D4488"/>
    <w:rsid w:val="007D44A3"/>
    <w:rsid w:val="007D4574"/>
    <w:rsid w:val="007D4677"/>
    <w:rsid w:val="007D46C2"/>
    <w:rsid w:val="007D4834"/>
    <w:rsid w:val="007D48DB"/>
    <w:rsid w:val="007D4940"/>
    <w:rsid w:val="007D4BD2"/>
    <w:rsid w:val="007D4D3C"/>
    <w:rsid w:val="007D4F77"/>
    <w:rsid w:val="007D5204"/>
    <w:rsid w:val="007D528B"/>
    <w:rsid w:val="007D5307"/>
    <w:rsid w:val="007D531F"/>
    <w:rsid w:val="007D548C"/>
    <w:rsid w:val="007D54C4"/>
    <w:rsid w:val="007D560F"/>
    <w:rsid w:val="007D561F"/>
    <w:rsid w:val="007D5706"/>
    <w:rsid w:val="007D5762"/>
    <w:rsid w:val="007D590D"/>
    <w:rsid w:val="007D5C1A"/>
    <w:rsid w:val="007D5DF4"/>
    <w:rsid w:val="007D5F6B"/>
    <w:rsid w:val="007D60D5"/>
    <w:rsid w:val="007D620E"/>
    <w:rsid w:val="007D6283"/>
    <w:rsid w:val="007D66D4"/>
    <w:rsid w:val="007D678A"/>
    <w:rsid w:val="007D6858"/>
    <w:rsid w:val="007D6B6A"/>
    <w:rsid w:val="007D6D41"/>
    <w:rsid w:val="007D6D97"/>
    <w:rsid w:val="007D6EAB"/>
    <w:rsid w:val="007D6FB5"/>
    <w:rsid w:val="007D7150"/>
    <w:rsid w:val="007D7152"/>
    <w:rsid w:val="007D752B"/>
    <w:rsid w:val="007D763D"/>
    <w:rsid w:val="007D7719"/>
    <w:rsid w:val="007D771C"/>
    <w:rsid w:val="007D7763"/>
    <w:rsid w:val="007D786F"/>
    <w:rsid w:val="007D7EC5"/>
    <w:rsid w:val="007D7EDA"/>
    <w:rsid w:val="007D7EFE"/>
    <w:rsid w:val="007E00A7"/>
    <w:rsid w:val="007E056D"/>
    <w:rsid w:val="007E0593"/>
    <w:rsid w:val="007E05D8"/>
    <w:rsid w:val="007E079F"/>
    <w:rsid w:val="007E0965"/>
    <w:rsid w:val="007E1376"/>
    <w:rsid w:val="007E14E0"/>
    <w:rsid w:val="007E1530"/>
    <w:rsid w:val="007E1B06"/>
    <w:rsid w:val="007E1B1D"/>
    <w:rsid w:val="007E1B2A"/>
    <w:rsid w:val="007E1BAE"/>
    <w:rsid w:val="007E1C04"/>
    <w:rsid w:val="007E1C06"/>
    <w:rsid w:val="007E1EB8"/>
    <w:rsid w:val="007E21D9"/>
    <w:rsid w:val="007E2226"/>
    <w:rsid w:val="007E2264"/>
    <w:rsid w:val="007E23CE"/>
    <w:rsid w:val="007E2443"/>
    <w:rsid w:val="007E2F78"/>
    <w:rsid w:val="007E31F1"/>
    <w:rsid w:val="007E3478"/>
    <w:rsid w:val="007E353F"/>
    <w:rsid w:val="007E3590"/>
    <w:rsid w:val="007E35AC"/>
    <w:rsid w:val="007E3661"/>
    <w:rsid w:val="007E3834"/>
    <w:rsid w:val="007E3A94"/>
    <w:rsid w:val="007E3C4C"/>
    <w:rsid w:val="007E4003"/>
    <w:rsid w:val="007E4179"/>
    <w:rsid w:val="007E419C"/>
    <w:rsid w:val="007E4437"/>
    <w:rsid w:val="007E45EF"/>
    <w:rsid w:val="007E45F7"/>
    <w:rsid w:val="007E4687"/>
    <w:rsid w:val="007E46CD"/>
    <w:rsid w:val="007E4969"/>
    <w:rsid w:val="007E49D1"/>
    <w:rsid w:val="007E4F93"/>
    <w:rsid w:val="007E50C6"/>
    <w:rsid w:val="007E5252"/>
    <w:rsid w:val="007E529F"/>
    <w:rsid w:val="007E54B3"/>
    <w:rsid w:val="007E58A8"/>
    <w:rsid w:val="007E5E15"/>
    <w:rsid w:val="007E5EDB"/>
    <w:rsid w:val="007E5F0E"/>
    <w:rsid w:val="007E6341"/>
    <w:rsid w:val="007E6429"/>
    <w:rsid w:val="007E669E"/>
    <w:rsid w:val="007E66B6"/>
    <w:rsid w:val="007E66DF"/>
    <w:rsid w:val="007E671A"/>
    <w:rsid w:val="007E6804"/>
    <w:rsid w:val="007E6892"/>
    <w:rsid w:val="007E6A9B"/>
    <w:rsid w:val="007E6AB1"/>
    <w:rsid w:val="007E71B2"/>
    <w:rsid w:val="007E72C9"/>
    <w:rsid w:val="007E742C"/>
    <w:rsid w:val="007E75D6"/>
    <w:rsid w:val="007E7610"/>
    <w:rsid w:val="007E7BA6"/>
    <w:rsid w:val="007E7DEF"/>
    <w:rsid w:val="007E7F77"/>
    <w:rsid w:val="007F0012"/>
    <w:rsid w:val="007F003F"/>
    <w:rsid w:val="007F031C"/>
    <w:rsid w:val="007F03D3"/>
    <w:rsid w:val="007F05C4"/>
    <w:rsid w:val="007F0686"/>
    <w:rsid w:val="007F071A"/>
    <w:rsid w:val="007F076A"/>
    <w:rsid w:val="007F0911"/>
    <w:rsid w:val="007F0A1D"/>
    <w:rsid w:val="007F0B43"/>
    <w:rsid w:val="007F0E57"/>
    <w:rsid w:val="007F0F10"/>
    <w:rsid w:val="007F137A"/>
    <w:rsid w:val="007F1761"/>
    <w:rsid w:val="007F1875"/>
    <w:rsid w:val="007F1A97"/>
    <w:rsid w:val="007F1D81"/>
    <w:rsid w:val="007F1EC1"/>
    <w:rsid w:val="007F2134"/>
    <w:rsid w:val="007F2149"/>
    <w:rsid w:val="007F2288"/>
    <w:rsid w:val="007F2353"/>
    <w:rsid w:val="007F2405"/>
    <w:rsid w:val="007F24D1"/>
    <w:rsid w:val="007F2714"/>
    <w:rsid w:val="007F278E"/>
    <w:rsid w:val="007F27E6"/>
    <w:rsid w:val="007F2A0E"/>
    <w:rsid w:val="007F2AD9"/>
    <w:rsid w:val="007F2F0B"/>
    <w:rsid w:val="007F30B8"/>
    <w:rsid w:val="007F3137"/>
    <w:rsid w:val="007F3695"/>
    <w:rsid w:val="007F36DE"/>
    <w:rsid w:val="007F36E4"/>
    <w:rsid w:val="007F3902"/>
    <w:rsid w:val="007F3954"/>
    <w:rsid w:val="007F3999"/>
    <w:rsid w:val="007F3AC0"/>
    <w:rsid w:val="007F3B0A"/>
    <w:rsid w:val="007F3C98"/>
    <w:rsid w:val="007F3EB0"/>
    <w:rsid w:val="007F4093"/>
    <w:rsid w:val="007F4133"/>
    <w:rsid w:val="007F43F2"/>
    <w:rsid w:val="007F44A3"/>
    <w:rsid w:val="007F4524"/>
    <w:rsid w:val="007F488E"/>
    <w:rsid w:val="007F4B43"/>
    <w:rsid w:val="007F4B4F"/>
    <w:rsid w:val="007F4DF5"/>
    <w:rsid w:val="007F519F"/>
    <w:rsid w:val="007F51FB"/>
    <w:rsid w:val="007F5240"/>
    <w:rsid w:val="007F52B0"/>
    <w:rsid w:val="007F582F"/>
    <w:rsid w:val="007F58B7"/>
    <w:rsid w:val="007F59C0"/>
    <w:rsid w:val="007F5B47"/>
    <w:rsid w:val="007F5D1F"/>
    <w:rsid w:val="007F5D7E"/>
    <w:rsid w:val="007F60E5"/>
    <w:rsid w:val="007F6134"/>
    <w:rsid w:val="007F627E"/>
    <w:rsid w:val="007F62C1"/>
    <w:rsid w:val="007F6346"/>
    <w:rsid w:val="007F6466"/>
    <w:rsid w:val="007F6501"/>
    <w:rsid w:val="007F6934"/>
    <w:rsid w:val="007F6A19"/>
    <w:rsid w:val="007F6B92"/>
    <w:rsid w:val="007F6C5E"/>
    <w:rsid w:val="007F6D2F"/>
    <w:rsid w:val="007F6D5D"/>
    <w:rsid w:val="007F7147"/>
    <w:rsid w:val="007F726A"/>
    <w:rsid w:val="007F768F"/>
    <w:rsid w:val="007F774B"/>
    <w:rsid w:val="007F7819"/>
    <w:rsid w:val="007F792D"/>
    <w:rsid w:val="007F79C8"/>
    <w:rsid w:val="007F7A98"/>
    <w:rsid w:val="007F7F66"/>
    <w:rsid w:val="008000EC"/>
    <w:rsid w:val="008002D3"/>
    <w:rsid w:val="008002E6"/>
    <w:rsid w:val="008003D4"/>
    <w:rsid w:val="008004FC"/>
    <w:rsid w:val="008004FD"/>
    <w:rsid w:val="0080068F"/>
    <w:rsid w:val="00800891"/>
    <w:rsid w:val="00800909"/>
    <w:rsid w:val="00800BDB"/>
    <w:rsid w:val="00800CD2"/>
    <w:rsid w:val="00800D50"/>
    <w:rsid w:val="00800D86"/>
    <w:rsid w:val="00800EDA"/>
    <w:rsid w:val="00801058"/>
    <w:rsid w:val="00801645"/>
    <w:rsid w:val="00801729"/>
    <w:rsid w:val="00801808"/>
    <w:rsid w:val="0080188A"/>
    <w:rsid w:val="00801C19"/>
    <w:rsid w:val="00801CC6"/>
    <w:rsid w:val="00801EA7"/>
    <w:rsid w:val="00801ECF"/>
    <w:rsid w:val="008020E2"/>
    <w:rsid w:val="0080214A"/>
    <w:rsid w:val="0080230F"/>
    <w:rsid w:val="008027C0"/>
    <w:rsid w:val="0080281D"/>
    <w:rsid w:val="00802CC2"/>
    <w:rsid w:val="0080315F"/>
    <w:rsid w:val="008031D3"/>
    <w:rsid w:val="008032B4"/>
    <w:rsid w:val="00803508"/>
    <w:rsid w:val="00803541"/>
    <w:rsid w:val="008035AF"/>
    <w:rsid w:val="008037FC"/>
    <w:rsid w:val="00803897"/>
    <w:rsid w:val="008039A5"/>
    <w:rsid w:val="00803A9E"/>
    <w:rsid w:val="00803C04"/>
    <w:rsid w:val="00803ED9"/>
    <w:rsid w:val="00803FA4"/>
    <w:rsid w:val="0080407A"/>
    <w:rsid w:val="008044E5"/>
    <w:rsid w:val="00804518"/>
    <w:rsid w:val="00804624"/>
    <w:rsid w:val="008046F0"/>
    <w:rsid w:val="008049CF"/>
    <w:rsid w:val="00804C20"/>
    <w:rsid w:val="00804F94"/>
    <w:rsid w:val="00805088"/>
    <w:rsid w:val="00805323"/>
    <w:rsid w:val="008053D9"/>
    <w:rsid w:val="008059D0"/>
    <w:rsid w:val="00805AEE"/>
    <w:rsid w:val="00805B3B"/>
    <w:rsid w:val="00805D01"/>
    <w:rsid w:val="00805D7C"/>
    <w:rsid w:val="00805D7F"/>
    <w:rsid w:val="00805DA0"/>
    <w:rsid w:val="0080611A"/>
    <w:rsid w:val="008062FC"/>
    <w:rsid w:val="008064B9"/>
    <w:rsid w:val="0080673E"/>
    <w:rsid w:val="00806855"/>
    <w:rsid w:val="0080693D"/>
    <w:rsid w:val="00806BC4"/>
    <w:rsid w:val="00806BD3"/>
    <w:rsid w:val="00806CCD"/>
    <w:rsid w:val="00806DF6"/>
    <w:rsid w:val="0080703B"/>
    <w:rsid w:val="0080706F"/>
    <w:rsid w:val="00807136"/>
    <w:rsid w:val="00807419"/>
    <w:rsid w:val="0080768C"/>
    <w:rsid w:val="00807872"/>
    <w:rsid w:val="0080792C"/>
    <w:rsid w:val="00807ADC"/>
    <w:rsid w:val="00807B2F"/>
    <w:rsid w:val="00807C57"/>
    <w:rsid w:val="00807D0D"/>
    <w:rsid w:val="00807D4D"/>
    <w:rsid w:val="008103CD"/>
    <w:rsid w:val="00810476"/>
    <w:rsid w:val="0081072F"/>
    <w:rsid w:val="008107C4"/>
    <w:rsid w:val="00810925"/>
    <w:rsid w:val="00810C52"/>
    <w:rsid w:val="00810DB0"/>
    <w:rsid w:val="00810FD0"/>
    <w:rsid w:val="00811561"/>
    <w:rsid w:val="00811710"/>
    <w:rsid w:val="008118D1"/>
    <w:rsid w:val="00811A8C"/>
    <w:rsid w:val="00811C26"/>
    <w:rsid w:val="00811EA8"/>
    <w:rsid w:val="00811F74"/>
    <w:rsid w:val="00812553"/>
    <w:rsid w:val="00812575"/>
    <w:rsid w:val="00812761"/>
    <w:rsid w:val="008128E6"/>
    <w:rsid w:val="00812BBB"/>
    <w:rsid w:val="00812BE7"/>
    <w:rsid w:val="00812D53"/>
    <w:rsid w:val="00812DE8"/>
    <w:rsid w:val="00813428"/>
    <w:rsid w:val="00813632"/>
    <w:rsid w:val="008136A8"/>
    <w:rsid w:val="008136F2"/>
    <w:rsid w:val="0081372D"/>
    <w:rsid w:val="00813807"/>
    <w:rsid w:val="008138FC"/>
    <w:rsid w:val="00813BC5"/>
    <w:rsid w:val="00813E02"/>
    <w:rsid w:val="00813E67"/>
    <w:rsid w:val="00813EBA"/>
    <w:rsid w:val="00813ED3"/>
    <w:rsid w:val="00813F61"/>
    <w:rsid w:val="00814005"/>
    <w:rsid w:val="00814023"/>
    <w:rsid w:val="008140AD"/>
    <w:rsid w:val="008146E4"/>
    <w:rsid w:val="00814964"/>
    <w:rsid w:val="00814AC0"/>
    <w:rsid w:val="00814B44"/>
    <w:rsid w:val="00814E67"/>
    <w:rsid w:val="00814EF7"/>
    <w:rsid w:val="00815159"/>
    <w:rsid w:val="0081532A"/>
    <w:rsid w:val="008153E7"/>
    <w:rsid w:val="0081583E"/>
    <w:rsid w:val="00815A2F"/>
    <w:rsid w:val="00815A7D"/>
    <w:rsid w:val="00815B4A"/>
    <w:rsid w:val="00815BCF"/>
    <w:rsid w:val="00815C93"/>
    <w:rsid w:val="00815D0F"/>
    <w:rsid w:val="00816034"/>
    <w:rsid w:val="008161F2"/>
    <w:rsid w:val="00816244"/>
    <w:rsid w:val="0081629A"/>
    <w:rsid w:val="0081629C"/>
    <w:rsid w:val="0081641F"/>
    <w:rsid w:val="00816635"/>
    <w:rsid w:val="00816638"/>
    <w:rsid w:val="0081679F"/>
    <w:rsid w:val="0081681B"/>
    <w:rsid w:val="00816936"/>
    <w:rsid w:val="00816D66"/>
    <w:rsid w:val="00817049"/>
    <w:rsid w:val="00817120"/>
    <w:rsid w:val="0081713E"/>
    <w:rsid w:val="008171EF"/>
    <w:rsid w:val="0081726A"/>
    <w:rsid w:val="008174D8"/>
    <w:rsid w:val="008174DC"/>
    <w:rsid w:val="0081782A"/>
    <w:rsid w:val="00817848"/>
    <w:rsid w:val="0081786B"/>
    <w:rsid w:val="00817B65"/>
    <w:rsid w:val="00817D82"/>
    <w:rsid w:val="00817F68"/>
    <w:rsid w:val="008201C2"/>
    <w:rsid w:val="008203E2"/>
    <w:rsid w:val="0082054F"/>
    <w:rsid w:val="00820713"/>
    <w:rsid w:val="00820911"/>
    <w:rsid w:val="008209EE"/>
    <w:rsid w:val="00820A71"/>
    <w:rsid w:val="00820D09"/>
    <w:rsid w:val="008213A9"/>
    <w:rsid w:val="008214EC"/>
    <w:rsid w:val="00821649"/>
    <w:rsid w:val="00821694"/>
    <w:rsid w:val="008217E3"/>
    <w:rsid w:val="008218B2"/>
    <w:rsid w:val="00821AC6"/>
    <w:rsid w:val="00821D7F"/>
    <w:rsid w:val="00821DA6"/>
    <w:rsid w:val="00821E19"/>
    <w:rsid w:val="00821E50"/>
    <w:rsid w:val="0082207D"/>
    <w:rsid w:val="008223FE"/>
    <w:rsid w:val="00822523"/>
    <w:rsid w:val="008226A9"/>
    <w:rsid w:val="008226F7"/>
    <w:rsid w:val="00822B13"/>
    <w:rsid w:val="00822E1E"/>
    <w:rsid w:val="00822F46"/>
    <w:rsid w:val="008230F8"/>
    <w:rsid w:val="0082342A"/>
    <w:rsid w:val="0082343E"/>
    <w:rsid w:val="00823722"/>
    <w:rsid w:val="00823729"/>
    <w:rsid w:val="00823A58"/>
    <w:rsid w:val="00823B95"/>
    <w:rsid w:val="00823D42"/>
    <w:rsid w:val="00823EB9"/>
    <w:rsid w:val="00823F43"/>
    <w:rsid w:val="00824139"/>
    <w:rsid w:val="0082421C"/>
    <w:rsid w:val="008248FA"/>
    <w:rsid w:val="0082492B"/>
    <w:rsid w:val="00824F86"/>
    <w:rsid w:val="00824F87"/>
    <w:rsid w:val="008250DA"/>
    <w:rsid w:val="00825123"/>
    <w:rsid w:val="0082539A"/>
    <w:rsid w:val="008254B1"/>
    <w:rsid w:val="00825789"/>
    <w:rsid w:val="008259E9"/>
    <w:rsid w:val="00825D1C"/>
    <w:rsid w:val="00825ED7"/>
    <w:rsid w:val="008263BF"/>
    <w:rsid w:val="008264A5"/>
    <w:rsid w:val="00826615"/>
    <w:rsid w:val="0082663A"/>
    <w:rsid w:val="008266DB"/>
    <w:rsid w:val="008269A5"/>
    <w:rsid w:val="00826B6F"/>
    <w:rsid w:val="00826C19"/>
    <w:rsid w:val="00827041"/>
    <w:rsid w:val="0082707E"/>
    <w:rsid w:val="0082711C"/>
    <w:rsid w:val="008271E5"/>
    <w:rsid w:val="0082746E"/>
    <w:rsid w:val="0082776A"/>
    <w:rsid w:val="008277B7"/>
    <w:rsid w:val="00827CB0"/>
    <w:rsid w:val="00827D0D"/>
    <w:rsid w:val="0083001E"/>
    <w:rsid w:val="00830064"/>
    <w:rsid w:val="0083024C"/>
    <w:rsid w:val="0083043E"/>
    <w:rsid w:val="0083070A"/>
    <w:rsid w:val="008307EF"/>
    <w:rsid w:val="00831160"/>
    <w:rsid w:val="008311F7"/>
    <w:rsid w:val="008312F1"/>
    <w:rsid w:val="0083131F"/>
    <w:rsid w:val="008315B4"/>
    <w:rsid w:val="00831765"/>
    <w:rsid w:val="00831A3A"/>
    <w:rsid w:val="00831A73"/>
    <w:rsid w:val="00831B2D"/>
    <w:rsid w:val="00831B9F"/>
    <w:rsid w:val="00831CB7"/>
    <w:rsid w:val="00831F00"/>
    <w:rsid w:val="00832033"/>
    <w:rsid w:val="00832139"/>
    <w:rsid w:val="00832177"/>
    <w:rsid w:val="0083222F"/>
    <w:rsid w:val="008322C3"/>
    <w:rsid w:val="008322F9"/>
    <w:rsid w:val="008323AE"/>
    <w:rsid w:val="00832717"/>
    <w:rsid w:val="008327E5"/>
    <w:rsid w:val="00832AB8"/>
    <w:rsid w:val="00832C78"/>
    <w:rsid w:val="0083317B"/>
    <w:rsid w:val="0083341B"/>
    <w:rsid w:val="0083350F"/>
    <w:rsid w:val="00833567"/>
    <w:rsid w:val="0083366B"/>
    <w:rsid w:val="00833902"/>
    <w:rsid w:val="00833D18"/>
    <w:rsid w:val="00833E30"/>
    <w:rsid w:val="00833F8B"/>
    <w:rsid w:val="0083416F"/>
    <w:rsid w:val="00834187"/>
    <w:rsid w:val="008345DA"/>
    <w:rsid w:val="008346EE"/>
    <w:rsid w:val="00834721"/>
    <w:rsid w:val="008347A4"/>
    <w:rsid w:val="008348C4"/>
    <w:rsid w:val="008348C9"/>
    <w:rsid w:val="00834917"/>
    <w:rsid w:val="00834994"/>
    <w:rsid w:val="008349B6"/>
    <w:rsid w:val="00834BB5"/>
    <w:rsid w:val="00834C8E"/>
    <w:rsid w:val="00834CD7"/>
    <w:rsid w:val="00834F21"/>
    <w:rsid w:val="00834F3D"/>
    <w:rsid w:val="00835215"/>
    <w:rsid w:val="008352C4"/>
    <w:rsid w:val="00835318"/>
    <w:rsid w:val="008353CA"/>
    <w:rsid w:val="00835AFE"/>
    <w:rsid w:val="00835B18"/>
    <w:rsid w:val="00835C25"/>
    <w:rsid w:val="00835DF5"/>
    <w:rsid w:val="00835EAF"/>
    <w:rsid w:val="00836381"/>
    <w:rsid w:val="00836534"/>
    <w:rsid w:val="00836B0B"/>
    <w:rsid w:val="00836D0C"/>
    <w:rsid w:val="00836EB9"/>
    <w:rsid w:val="00837178"/>
    <w:rsid w:val="0083717D"/>
    <w:rsid w:val="008371D0"/>
    <w:rsid w:val="0083727F"/>
    <w:rsid w:val="0083742A"/>
    <w:rsid w:val="00837548"/>
    <w:rsid w:val="00837AE2"/>
    <w:rsid w:val="00837D83"/>
    <w:rsid w:val="00837FD0"/>
    <w:rsid w:val="00840149"/>
    <w:rsid w:val="00840204"/>
    <w:rsid w:val="0084022E"/>
    <w:rsid w:val="00840278"/>
    <w:rsid w:val="00840327"/>
    <w:rsid w:val="008405EB"/>
    <w:rsid w:val="0084082C"/>
    <w:rsid w:val="00840A00"/>
    <w:rsid w:val="00840AFD"/>
    <w:rsid w:val="00840CB3"/>
    <w:rsid w:val="008411E5"/>
    <w:rsid w:val="0084129A"/>
    <w:rsid w:val="008413C6"/>
    <w:rsid w:val="0084196A"/>
    <w:rsid w:val="00841974"/>
    <w:rsid w:val="00841BE6"/>
    <w:rsid w:val="008421BB"/>
    <w:rsid w:val="00842290"/>
    <w:rsid w:val="0084240D"/>
    <w:rsid w:val="00842628"/>
    <w:rsid w:val="00842806"/>
    <w:rsid w:val="0084296C"/>
    <w:rsid w:val="00842B55"/>
    <w:rsid w:val="00842C97"/>
    <w:rsid w:val="00842F21"/>
    <w:rsid w:val="00842F45"/>
    <w:rsid w:val="00843011"/>
    <w:rsid w:val="0084304F"/>
    <w:rsid w:val="00843276"/>
    <w:rsid w:val="008434F3"/>
    <w:rsid w:val="008435AB"/>
    <w:rsid w:val="008439B0"/>
    <w:rsid w:val="00843AD8"/>
    <w:rsid w:val="00843AE5"/>
    <w:rsid w:val="00843C7A"/>
    <w:rsid w:val="00843CE1"/>
    <w:rsid w:val="00843E21"/>
    <w:rsid w:val="00843E71"/>
    <w:rsid w:val="00843F73"/>
    <w:rsid w:val="00843FE2"/>
    <w:rsid w:val="008444AC"/>
    <w:rsid w:val="00844519"/>
    <w:rsid w:val="0084468D"/>
    <w:rsid w:val="00844736"/>
    <w:rsid w:val="00844F96"/>
    <w:rsid w:val="00845017"/>
    <w:rsid w:val="00845210"/>
    <w:rsid w:val="00845339"/>
    <w:rsid w:val="00845616"/>
    <w:rsid w:val="008456FD"/>
    <w:rsid w:val="00845883"/>
    <w:rsid w:val="008459B0"/>
    <w:rsid w:val="00845D0D"/>
    <w:rsid w:val="00845E7C"/>
    <w:rsid w:val="00845F03"/>
    <w:rsid w:val="00845FA1"/>
    <w:rsid w:val="00845FA5"/>
    <w:rsid w:val="00846104"/>
    <w:rsid w:val="008464EF"/>
    <w:rsid w:val="00846891"/>
    <w:rsid w:val="0084689C"/>
    <w:rsid w:val="00846923"/>
    <w:rsid w:val="00846953"/>
    <w:rsid w:val="00846BCB"/>
    <w:rsid w:val="00846C2B"/>
    <w:rsid w:val="00846C50"/>
    <w:rsid w:val="00846C54"/>
    <w:rsid w:val="00846DA3"/>
    <w:rsid w:val="00846E05"/>
    <w:rsid w:val="00846F05"/>
    <w:rsid w:val="00846F2F"/>
    <w:rsid w:val="00846FDE"/>
    <w:rsid w:val="00847027"/>
    <w:rsid w:val="008470BA"/>
    <w:rsid w:val="0084711B"/>
    <w:rsid w:val="008471C3"/>
    <w:rsid w:val="008472D7"/>
    <w:rsid w:val="008472FF"/>
    <w:rsid w:val="00847778"/>
    <w:rsid w:val="00847861"/>
    <w:rsid w:val="00847BE8"/>
    <w:rsid w:val="00847CAF"/>
    <w:rsid w:val="00847FCD"/>
    <w:rsid w:val="0085015B"/>
    <w:rsid w:val="00850351"/>
    <w:rsid w:val="008503CF"/>
    <w:rsid w:val="0085042F"/>
    <w:rsid w:val="0085082F"/>
    <w:rsid w:val="008508FB"/>
    <w:rsid w:val="00850A67"/>
    <w:rsid w:val="00850AB4"/>
    <w:rsid w:val="00850C0A"/>
    <w:rsid w:val="00850C6E"/>
    <w:rsid w:val="00851015"/>
    <w:rsid w:val="00851028"/>
    <w:rsid w:val="008510E9"/>
    <w:rsid w:val="008511EA"/>
    <w:rsid w:val="00851AC4"/>
    <w:rsid w:val="00851B27"/>
    <w:rsid w:val="00851B8D"/>
    <w:rsid w:val="00852284"/>
    <w:rsid w:val="008525E1"/>
    <w:rsid w:val="00852738"/>
    <w:rsid w:val="008528CF"/>
    <w:rsid w:val="0085291A"/>
    <w:rsid w:val="00852A16"/>
    <w:rsid w:val="00852A1A"/>
    <w:rsid w:val="00852EF9"/>
    <w:rsid w:val="00853083"/>
    <w:rsid w:val="00853132"/>
    <w:rsid w:val="008531F7"/>
    <w:rsid w:val="008534EE"/>
    <w:rsid w:val="008535A2"/>
    <w:rsid w:val="008539A2"/>
    <w:rsid w:val="00853D19"/>
    <w:rsid w:val="00853E0C"/>
    <w:rsid w:val="00853FB3"/>
    <w:rsid w:val="00853FFB"/>
    <w:rsid w:val="00854267"/>
    <w:rsid w:val="0085439E"/>
    <w:rsid w:val="008543DF"/>
    <w:rsid w:val="0085440A"/>
    <w:rsid w:val="00854599"/>
    <w:rsid w:val="008545FC"/>
    <w:rsid w:val="00854A35"/>
    <w:rsid w:val="00854AC2"/>
    <w:rsid w:val="00854B1E"/>
    <w:rsid w:val="00854B4A"/>
    <w:rsid w:val="00854C88"/>
    <w:rsid w:val="00854FA6"/>
    <w:rsid w:val="0085515E"/>
    <w:rsid w:val="008552D2"/>
    <w:rsid w:val="0085556F"/>
    <w:rsid w:val="008556BB"/>
    <w:rsid w:val="00855754"/>
    <w:rsid w:val="00855855"/>
    <w:rsid w:val="00855862"/>
    <w:rsid w:val="00855968"/>
    <w:rsid w:val="008559FE"/>
    <w:rsid w:val="00855BE1"/>
    <w:rsid w:val="00855CA7"/>
    <w:rsid w:val="00856123"/>
    <w:rsid w:val="008561FD"/>
    <w:rsid w:val="00856380"/>
    <w:rsid w:val="00856425"/>
    <w:rsid w:val="008564A3"/>
    <w:rsid w:val="008565C1"/>
    <w:rsid w:val="00856608"/>
    <w:rsid w:val="00856665"/>
    <w:rsid w:val="00856BC4"/>
    <w:rsid w:val="00857153"/>
    <w:rsid w:val="008571A0"/>
    <w:rsid w:val="0085743F"/>
    <w:rsid w:val="00857678"/>
    <w:rsid w:val="00857B18"/>
    <w:rsid w:val="00857B75"/>
    <w:rsid w:val="00857B76"/>
    <w:rsid w:val="00857D41"/>
    <w:rsid w:val="00857EB2"/>
    <w:rsid w:val="0086049F"/>
    <w:rsid w:val="0086071A"/>
    <w:rsid w:val="0086087C"/>
    <w:rsid w:val="00860AAB"/>
    <w:rsid w:val="00860AB1"/>
    <w:rsid w:val="00860C79"/>
    <w:rsid w:val="00860CC9"/>
    <w:rsid w:val="00860DAD"/>
    <w:rsid w:val="00860DF9"/>
    <w:rsid w:val="008611CC"/>
    <w:rsid w:val="008614FD"/>
    <w:rsid w:val="00861ACB"/>
    <w:rsid w:val="00861B0F"/>
    <w:rsid w:val="00861C2A"/>
    <w:rsid w:val="00861D3D"/>
    <w:rsid w:val="00862119"/>
    <w:rsid w:val="0086234F"/>
    <w:rsid w:val="008625B4"/>
    <w:rsid w:val="00862717"/>
    <w:rsid w:val="00862A10"/>
    <w:rsid w:val="00862A8C"/>
    <w:rsid w:val="00862B8A"/>
    <w:rsid w:val="00862BD2"/>
    <w:rsid w:val="00862C29"/>
    <w:rsid w:val="00862D78"/>
    <w:rsid w:val="00862EEC"/>
    <w:rsid w:val="0086307B"/>
    <w:rsid w:val="00863126"/>
    <w:rsid w:val="008631F3"/>
    <w:rsid w:val="00863498"/>
    <w:rsid w:val="0086366B"/>
    <w:rsid w:val="00863775"/>
    <w:rsid w:val="00863A09"/>
    <w:rsid w:val="00863BE7"/>
    <w:rsid w:val="00863E6F"/>
    <w:rsid w:val="008640DE"/>
    <w:rsid w:val="00864343"/>
    <w:rsid w:val="00864362"/>
    <w:rsid w:val="0086460E"/>
    <w:rsid w:val="0086462E"/>
    <w:rsid w:val="008647EF"/>
    <w:rsid w:val="00864848"/>
    <w:rsid w:val="00864D5F"/>
    <w:rsid w:val="00864D88"/>
    <w:rsid w:val="00864EA1"/>
    <w:rsid w:val="00864ECC"/>
    <w:rsid w:val="0086502B"/>
    <w:rsid w:val="00865263"/>
    <w:rsid w:val="008652C0"/>
    <w:rsid w:val="008653A1"/>
    <w:rsid w:val="00865953"/>
    <w:rsid w:val="00865A95"/>
    <w:rsid w:val="00865F6C"/>
    <w:rsid w:val="0086610C"/>
    <w:rsid w:val="00866219"/>
    <w:rsid w:val="008667A1"/>
    <w:rsid w:val="008667DB"/>
    <w:rsid w:val="00866A7D"/>
    <w:rsid w:val="00866BE1"/>
    <w:rsid w:val="00866DC4"/>
    <w:rsid w:val="00866E05"/>
    <w:rsid w:val="00866FD8"/>
    <w:rsid w:val="00866FEA"/>
    <w:rsid w:val="008673EF"/>
    <w:rsid w:val="008674E9"/>
    <w:rsid w:val="00867560"/>
    <w:rsid w:val="008676A6"/>
    <w:rsid w:val="00867CF3"/>
    <w:rsid w:val="00867DF7"/>
    <w:rsid w:val="0087036C"/>
    <w:rsid w:val="0087095B"/>
    <w:rsid w:val="008709B6"/>
    <w:rsid w:val="00870C4A"/>
    <w:rsid w:val="00870CD9"/>
    <w:rsid w:val="00870D38"/>
    <w:rsid w:val="00870D5A"/>
    <w:rsid w:val="00870DC7"/>
    <w:rsid w:val="00870F9E"/>
    <w:rsid w:val="008711C3"/>
    <w:rsid w:val="008714F5"/>
    <w:rsid w:val="00871687"/>
    <w:rsid w:val="008716C3"/>
    <w:rsid w:val="00871820"/>
    <w:rsid w:val="0087199A"/>
    <w:rsid w:val="00871C3F"/>
    <w:rsid w:val="00871D01"/>
    <w:rsid w:val="00871E18"/>
    <w:rsid w:val="00871EEE"/>
    <w:rsid w:val="00872132"/>
    <w:rsid w:val="00872185"/>
    <w:rsid w:val="008721B3"/>
    <w:rsid w:val="0087231D"/>
    <w:rsid w:val="008723D7"/>
    <w:rsid w:val="00872456"/>
    <w:rsid w:val="00872688"/>
    <w:rsid w:val="00872972"/>
    <w:rsid w:val="00872A1D"/>
    <w:rsid w:val="00872C21"/>
    <w:rsid w:val="00872C68"/>
    <w:rsid w:val="00872E40"/>
    <w:rsid w:val="00872E69"/>
    <w:rsid w:val="00872EA5"/>
    <w:rsid w:val="00873133"/>
    <w:rsid w:val="00873197"/>
    <w:rsid w:val="008735D2"/>
    <w:rsid w:val="00873759"/>
    <w:rsid w:val="008738E4"/>
    <w:rsid w:val="00873989"/>
    <w:rsid w:val="008739EA"/>
    <w:rsid w:val="00873DA0"/>
    <w:rsid w:val="00873DFE"/>
    <w:rsid w:val="00873F4A"/>
    <w:rsid w:val="00873FE5"/>
    <w:rsid w:val="00874269"/>
    <w:rsid w:val="008743A0"/>
    <w:rsid w:val="008743E1"/>
    <w:rsid w:val="00874618"/>
    <w:rsid w:val="00874622"/>
    <w:rsid w:val="00874649"/>
    <w:rsid w:val="00874702"/>
    <w:rsid w:val="00874B8B"/>
    <w:rsid w:val="00874CF7"/>
    <w:rsid w:val="00874D64"/>
    <w:rsid w:val="00874DCA"/>
    <w:rsid w:val="00874E45"/>
    <w:rsid w:val="00874F2A"/>
    <w:rsid w:val="00875758"/>
    <w:rsid w:val="00875B69"/>
    <w:rsid w:val="00875FD5"/>
    <w:rsid w:val="0087608E"/>
    <w:rsid w:val="008762EF"/>
    <w:rsid w:val="008762F4"/>
    <w:rsid w:val="0087655F"/>
    <w:rsid w:val="0087669D"/>
    <w:rsid w:val="00876732"/>
    <w:rsid w:val="00876C0E"/>
    <w:rsid w:val="00876D7F"/>
    <w:rsid w:val="00876EC4"/>
    <w:rsid w:val="00876F87"/>
    <w:rsid w:val="00876FC7"/>
    <w:rsid w:val="00877077"/>
    <w:rsid w:val="00877232"/>
    <w:rsid w:val="00877CAD"/>
    <w:rsid w:val="00880060"/>
    <w:rsid w:val="008800C0"/>
    <w:rsid w:val="008800F0"/>
    <w:rsid w:val="0088011D"/>
    <w:rsid w:val="008801A4"/>
    <w:rsid w:val="008806DF"/>
    <w:rsid w:val="00880707"/>
    <w:rsid w:val="00880743"/>
    <w:rsid w:val="008807EE"/>
    <w:rsid w:val="00880A6D"/>
    <w:rsid w:val="00880CB6"/>
    <w:rsid w:val="00880D0F"/>
    <w:rsid w:val="00880E51"/>
    <w:rsid w:val="00880F2B"/>
    <w:rsid w:val="00881081"/>
    <w:rsid w:val="008810E2"/>
    <w:rsid w:val="008815E8"/>
    <w:rsid w:val="00881BE9"/>
    <w:rsid w:val="00881E02"/>
    <w:rsid w:val="00881E5F"/>
    <w:rsid w:val="00881EB3"/>
    <w:rsid w:val="00881EDB"/>
    <w:rsid w:val="00881F24"/>
    <w:rsid w:val="0088214C"/>
    <w:rsid w:val="008822F8"/>
    <w:rsid w:val="00882392"/>
    <w:rsid w:val="00882586"/>
    <w:rsid w:val="00882A91"/>
    <w:rsid w:val="00882AD2"/>
    <w:rsid w:val="00882C88"/>
    <w:rsid w:val="00882DAB"/>
    <w:rsid w:val="00882F7C"/>
    <w:rsid w:val="00883151"/>
    <w:rsid w:val="008833BE"/>
    <w:rsid w:val="0088351A"/>
    <w:rsid w:val="008835F2"/>
    <w:rsid w:val="00883C1A"/>
    <w:rsid w:val="00883EC9"/>
    <w:rsid w:val="008841B9"/>
    <w:rsid w:val="008841C1"/>
    <w:rsid w:val="008844D7"/>
    <w:rsid w:val="00884602"/>
    <w:rsid w:val="00884770"/>
    <w:rsid w:val="008847A8"/>
    <w:rsid w:val="00884BE1"/>
    <w:rsid w:val="00884C5F"/>
    <w:rsid w:val="00884D9B"/>
    <w:rsid w:val="00884F5F"/>
    <w:rsid w:val="0088521D"/>
    <w:rsid w:val="008853E2"/>
    <w:rsid w:val="008854C1"/>
    <w:rsid w:val="008854E1"/>
    <w:rsid w:val="00885684"/>
    <w:rsid w:val="008856BB"/>
    <w:rsid w:val="008857BF"/>
    <w:rsid w:val="00885BD3"/>
    <w:rsid w:val="00885E07"/>
    <w:rsid w:val="00885EA0"/>
    <w:rsid w:val="008860F7"/>
    <w:rsid w:val="008861A0"/>
    <w:rsid w:val="00886320"/>
    <w:rsid w:val="008867F5"/>
    <w:rsid w:val="008868DF"/>
    <w:rsid w:val="00886926"/>
    <w:rsid w:val="00886CED"/>
    <w:rsid w:val="00886F02"/>
    <w:rsid w:val="0088700E"/>
    <w:rsid w:val="0088710E"/>
    <w:rsid w:val="008871F7"/>
    <w:rsid w:val="00887228"/>
    <w:rsid w:val="0088729C"/>
    <w:rsid w:val="008872D6"/>
    <w:rsid w:val="00887367"/>
    <w:rsid w:val="00887382"/>
    <w:rsid w:val="00887471"/>
    <w:rsid w:val="00887BDA"/>
    <w:rsid w:val="00887E31"/>
    <w:rsid w:val="0089019E"/>
    <w:rsid w:val="008901E1"/>
    <w:rsid w:val="0089045A"/>
    <w:rsid w:val="00890465"/>
    <w:rsid w:val="00890605"/>
    <w:rsid w:val="00890748"/>
    <w:rsid w:val="008909CC"/>
    <w:rsid w:val="00890B50"/>
    <w:rsid w:val="00890BF3"/>
    <w:rsid w:val="00890CEB"/>
    <w:rsid w:val="00890F82"/>
    <w:rsid w:val="008910A1"/>
    <w:rsid w:val="00891103"/>
    <w:rsid w:val="0089112A"/>
    <w:rsid w:val="00891334"/>
    <w:rsid w:val="008913A5"/>
    <w:rsid w:val="008915DF"/>
    <w:rsid w:val="00891748"/>
    <w:rsid w:val="00891768"/>
    <w:rsid w:val="00891910"/>
    <w:rsid w:val="00891B58"/>
    <w:rsid w:val="00891E96"/>
    <w:rsid w:val="00891EA8"/>
    <w:rsid w:val="00891F17"/>
    <w:rsid w:val="00891F88"/>
    <w:rsid w:val="00891FFB"/>
    <w:rsid w:val="00892090"/>
    <w:rsid w:val="0089227F"/>
    <w:rsid w:val="008923A8"/>
    <w:rsid w:val="0089248D"/>
    <w:rsid w:val="00892A01"/>
    <w:rsid w:val="00892B8E"/>
    <w:rsid w:val="00892E5F"/>
    <w:rsid w:val="008934C1"/>
    <w:rsid w:val="0089369D"/>
    <w:rsid w:val="008936A9"/>
    <w:rsid w:val="008937B6"/>
    <w:rsid w:val="008938B7"/>
    <w:rsid w:val="00893922"/>
    <w:rsid w:val="00893A87"/>
    <w:rsid w:val="00893BC2"/>
    <w:rsid w:val="00893D32"/>
    <w:rsid w:val="00893EF4"/>
    <w:rsid w:val="00893F13"/>
    <w:rsid w:val="00893F35"/>
    <w:rsid w:val="0089404B"/>
    <w:rsid w:val="00894179"/>
    <w:rsid w:val="0089423D"/>
    <w:rsid w:val="008943F7"/>
    <w:rsid w:val="00894428"/>
    <w:rsid w:val="0089442C"/>
    <w:rsid w:val="00894A16"/>
    <w:rsid w:val="00894AAB"/>
    <w:rsid w:val="00894B16"/>
    <w:rsid w:val="00894E55"/>
    <w:rsid w:val="008950FD"/>
    <w:rsid w:val="0089565D"/>
    <w:rsid w:val="00895672"/>
    <w:rsid w:val="008957BE"/>
    <w:rsid w:val="008958BE"/>
    <w:rsid w:val="00895A34"/>
    <w:rsid w:val="00895C2E"/>
    <w:rsid w:val="00895CE0"/>
    <w:rsid w:val="00895DB8"/>
    <w:rsid w:val="00895F3A"/>
    <w:rsid w:val="0089601E"/>
    <w:rsid w:val="008961CF"/>
    <w:rsid w:val="00896345"/>
    <w:rsid w:val="008964E3"/>
    <w:rsid w:val="0089663E"/>
    <w:rsid w:val="00896679"/>
    <w:rsid w:val="008967D8"/>
    <w:rsid w:val="00896AEB"/>
    <w:rsid w:val="00896DAD"/>
    <w:rsid w:val="0089700E"/>
    <w:rsid w:val="008971D2"/>
    <w:rsid w:val="00897529"/>
    <w:rsid w:val="008976E3"/>
    <w:rsid w:val="008976E7"/>
    <w:rsid w:val="008977AE"/>
    <w:rsid w:val="008978C9"/>
    <w:rsid w:val="00897927"/>
    <w:rsid w:val="008979B2"/>
    <w:rsid w:val="00897E26"/>
    <w:rsid w:val="00897E98"/>
    <w:rsid w:val="008A01C1"/>
    <w:rsid w:val="008A02F2"/>
    <w:rsid w:val="008A0312"/>
    <w:rsid w:val="008A0BDD"/>
    <w:rsid w:val="008A0D20"/>
    <w:rsid w:val="008A0E4A"/>
    <w:rsid w:val="008A0EA0"/>
    <w:rsid w:val="008A0F89"/>
    <w:rsid w:val="008A1051"/>
    <w:rsid w:val="008A11EB"/>
    <w:rsid w:val="008A120F"/>
    <w:rsid w:val="008A131A"/>
    <w:rsid w:val="008A135A"/>
    <w:rsid w:val="008A1467"/>
    <w:rsid w:val="008A150E"/>
    <w:rsid w:val="008A1637"/>
    <w:rsid w:val="008A187B"/>
    <w:rsid w:val="008A1B43"/>
    <w:rsid w:val="008A1F4B"/>
    <w:rsid w:val="008A1FB4"/>
    <w:rsid w:val="008A2208"/>
    <w:rsid w:val="008A2407"/>
    <w:rsid w:val="008A2646"/>
    <w:rsid w:val="008A264C"/>
    <w:rsid w:val="008A26E2"/>
    <w:rsid w:val="008A28EC"/>
    <w:rsid w:val="008A28FA"/>
    <w:rsid w:val="008A2948"/>
    <w:rsid w:val="008A2E4D"/>
    <w:rsid w:val="008A3019"/>
    <w:rsid w:val="008A30B2"/>
    <w:rsid w:val="008A3445"/>
    <w:rsid w:val="008A3536"/>
    <w:rsid w:val="008A365B"/>
    <w:rsid w:val="008A36D8"/>
    <w:rsid w:val="008A38AE"/>
    <w:rsid w:val="008A3925"/>
    <w:rsid w:val="008A39B6"/>
    <w:rsid w:val="008A39E0"/>
    <w:rsid w:val="008A3B48"/>
    <w:rsid w:val="008A3B72"/>
    <w:rsid w:val="008A3E5C"/>
    <w:rsid w:val="008A3F74"/>
    <w:rsid w:val="008A41B8"/>
    <w:rsid w:val="008A4416"/>
    <w:rsid w:val="008A4522"/>
    <w:rsid w:val="008A45B4"/>
    <w:rsid w:val="008A47BC"/>
    <w:rsid w:val="008A484B"/>
    <w:rsid w:val="008A4AD9"/>
    <w:rsid w:val="008A4CF2"/>
    <w:rsid w:val="008A4FC9"/>
    <w:rsid w:val="008A5151"/>
    <w:rsid w:val="008A5214"/>
    <w:rsid w:val="008A561F"/>
    <w:rsid w:val="008A5856"/>
    <w:rsid w:val="008A588D"/>
    <w:rsid w:val="008A5B78"/>
    <w:rsid w:val="008A5B86"/>
    <w:rsid w:val="008A6067"/>
    <w:rsid w:val="008A61C0"/>
    <w:rsid w:val="008A6423"/>
    <w:rsid w:val="008A66FA"/>
    <w:rsid w:val="008A6DB6"/>
    <w:rsid w:val="008A6E1E"/>
    <w:rsid w:val="008A6F9B"/>
    <w:rsid w:val="008A7088"/>
    <w:rsid w:val="008A755C"/>
    <w:rsid w:val="008A78A4"/>
    <w:rsid w:val="008A792C"/>
    <w:rsid w:val="008A7D35"/>
    <w:rsid w:val="008A7DB3"/>
    <w:rsid w:val="008A7E32"/>
    <w:rsid w:val="008A7E7C"/>
    <w:rsid w:val="008A7EF5"/>
    <w:rsid w:val="008A7F48"/>
    <w:rsid w:val="008B039A"/>
    <w:rsid w:val="008B0669"/>
    <w:rsid w:val="008B08B1"/>
    <w:rsid w:val="008B08B2"/>
    <w:rsid w:val="008B0A4D"/>
    <w:rsid w:val="008B1154"/>
    <w:rsid w:val="008B143F"/>
    <w:rsid w:val="008B149A"/>
    <w:rsid w:val="008B16B4"/>
    <w:rsid w:val="008B1724"/>
    <w:rsid w:val="008B1726"/>
    <w:rsid w:val="008B1ADB"/>
    <w:rsid w:val="008B1AFD"/>
    <w:rsid w:val="008B1B1F"/>
    <w:rsid w:val="008B1DC3"/>
    <w:rsid w:val="008B1F5F"/>
    <w:rsid w:val="008B1F78"/>
    <w:rsid w:val="008B2278"/>
    <w:rsid w:val="008B23C3"/>
    <w:rsid w:val="008B260F"/>
    <w:rsid w:val="008B277C"/>
    <w:rsid w:val="008B28B2"/>
    <w:rsid w:val="008B291C"/>
    <w:rsid w:val="008B2C5A"/>
    <w:rsid w:val="008B2D14"/>
    <w:rsid w:val="008B2D71"/>
    <w:rsid w:val="008B3077"/>
    <w:rsid w:val="008B31E2"/>
    <w:rsid w:val="008B32A4"/>
    <w:rsid w:val="008B3384"/>
    <w:rsid w:val="008B363D"/>
    <w:rsid w:val="008B365D"/>
    <w:rsid w:val="008B3895"/>
    <w:rsid w:val="008B3996"/>
    <w:rsid w:val="008B3AC8"/>
    <w:rsid w:val="008B3B66"/>
    <w:rsid w:val="008B3CC7"/>
    <w:rsid w:val="008B3DDB"/>
    <w:rsid w:val="008B3E99"/>
    <w:rsid w:val="008B4098"/>
    <w:rsid w:val="008B42E0"/>
    <w:rsid w:val="008B4B9D"/>
    <w:rsid w:val="008B4C2B"/>
    <w:rsid w:val="008B4C81"/>
    <w:rsid w:val="008B4DDD"/>
    <w:rsid w:val="008B50C4"/>
    <w:rsid w:val="008B5495"/>
    <w:rsid w:val="008B58DB"/>
    <w:rsid w:val="008B5BC5"/>
    <w:rsid w:val="008B5C3F"/>
    <w:rsid w:val="008B5D4C"/>
    <w:rsid w:val="008B5F6F"/>
    <w:rsid w:val="008B5F9D"/>
    <w:rsid w:val="008B6209"/>
    <w:rsid w:val="008B629F"/>
    <w:rsid w:val="008B63FB"/>
    <w:rsid w:val="008B64A7"/>
    <w:rsid w:val="008B66EA"/>
    <w:rsid w:val="008B680B"/>
    <w:rsid w:val="008B6D5F"/>
    <w:rsid w:val="008B6DFD"/>
    <w:rsid w:val="008B6F81"/>
    <w:rsid w:val="008B7001"/>
    <w:rsid w:val="008B711E"/>
    <w:rsid w:val="008B72CA"/>
    <w:rsid w:val="008B743C"/>
    <w:rsid w:val="008B743F"/>
    <w:rsid w:val="008B764D"/>
    <w:rsid w:val="008B7879"/>
    <w:rsid w:val="008B7A66"/>
    <w:rsid w:val="008B7B8F"/>
    <w:rsid w:val="008B7BB1"/>
    <w:rsid w:val="008B7BFB"/>
    <w:rsid w:val="008B7DB5"/>
    <w:rsid w:val="008B7F81"/>
    <w:rsid w:val="008C0066"/>
    <w:rsid w:val="008C0377"/>
    <w:rsid w:val="008C03F9"/>
    <w:rsid w:val="008C068E"/>
    <w:rsid w:val="008C0BE0"/>
    <w:rsid w:val="008C0C8C"/>
    <w:rsid w:val="008C0E1D"/>
    <w:rsid w:val="008C0E7E"/>
    <w:rsid w:val="008C0EA8"/>
    <w:rsid w:val="008C0F14"/>
    <w:rsid w:val="008C11AA"/>
    <w:rsid w:val="008C1407"/>
    <w:rsid w:val="008C14B6"/>
    <w:rsid w:val="008C14B9"/>
    <w:rsid w:val="008C17A0"/>
    <w:rsid w:val="008C190A"/>
    <w:rsid w:val="008C19BB"/>
    <w:rsid w:val="008C1CBB"/>
    <w:rsid w:val="008C2057"/>
    <w:rsid w:val="008C221F"/>
    <w:rsid w:val="008C22EB"/>
    <w:rsid w:val="008C2577"/>
    <w:rsid w:val="008C25AE"/>
    <w:rsid w:val="008C26BC"/>
    <w:rsid w:val="008C28AD"/>
    <w:rsid w:val="008C2DC3"/>
    <w:rsid w:val="008C2E89"/>
    <w:rsid w:val="008C2F9D"/>
    <w:rsid w:val="008C3033"/>
    <w:rsid w:val="008C31E5"/>
    <w:rsid w:val="008C339D"/>
    <w:rsid w:val="008C3468"/>
    <w:rsid w:val="008C353C"/>
    <w:rsid w:val="008C39C1"/>
    <w:rsid w:val="008C3C7A"/>
    <w:rsid w:val="008C3CF0"/>
    <w:rsid w:val="008C3D04"/>
    <w:rsid w:val="008C3D70"/>
    <w:rsid w:val="008C3FFC"/>
    <w:rsid w:val="008C4155"/>
    <w:rsid w:val="008C416C"/>
    <w:rsid w:val="008C41C8"/>
    <w:rsid w:val="008C424B"/>
    <w:rsid w:val="008C434E"/>
    <w:rsid w:val="008C4405"/>
    <w:rsid w:val="008C463B"/>
    <w:rsid w:val="008C4650"/>
    <w:rsid w:val="008C479D"/>
    <w:rsid w:val="008C4859"/>
    <w:rsid w:val="008C4898"/>
    <w:rsid w:val="008C4D2C"/>
    <w:rsid w:val="008C4D73"/>
    <w:rsid w:val="008C4F61"/>
    <w:rsid w:val="008C5213"/>
    <w:rsid w:val="008C5DE8"/>
    <w:rsid w:val="008C5E2F"/>
    <w:rsid w:val="008C5EC7"/>
    <w:rsid w:val="008C60EA"/>
    <w:rsid w:val="008C62D6"/>
    <w:rsid w:val="008C648C"/>
    <w:rsid w:val="008C64F6"/>
    <w:rsid w:val="008C6597"/>
    <w:rsid w:val="008C6694"/>
    <w:rsid w:val="008C67C0"/>
    <w:rsid w:val="008C71A0"/>
    <w:rsid w:val="008C736C"/>
    <w:rsid w:val="008C7512"/>
    <w:rsid w:val="008C7675"/>
    <w:rsid w:val="008C77A8"/>
    <w:rsid w:val="008C78BB"/>
    <w:rsid w:val="008C7C2B"/>
    <w:rsid w:val="008C7CEC"/>
    <w:rsid w:val="008C7E25"/>
    <w:rsid w:val="008D0135"/>
    <w:rsid w:val="008D01F3"/>
    <w:rsid w:val="008D02F4"/>
    <w:rsid w:val="008D036A"/>
    <w:rsid w:val="008D04CC"/>
    <w:rsid w:val="008D068E"/>
    <w:rsid w:val="008D0A28"/>
    <w:rsid w:val="008D0B30"/>
    <w:rsid w:val="008D0CDB"/>
    <w:rsid w:val="008D0E43"/>
    <w:rsid w:val="008D0FB2"/>
    <w:rsid w:val="008D10D9"/>
    <w:rsid w:val="008D1181"/>
    <w:rsid w:val="008D1653"/>
    <w:rsid w:val="008D1659"/>
    <w:rsid w:val="008D1839"/>
    <w:rsid w:val="008D1958"/>
    <w:rsid w:val="008D1FA6"/>
    <w:rsid w:val="008D201E"/>
    <w:rsid w:val="008D21A8"/>
    <w:rsid w:val="008D2415"/>
    <w:rsid w:val="008D2630"/>
    <w:rsid w:val="008D2688"/>
    <w:rsid w:val="008D288B"/>
    <w:rsid w:val="008D29D3"/>
    <w:rsid w:val="008D2B91"/>
    <w:rsid w:val="008D2BA9"/>
    <w:rsid w:val="008D2D20"/>
    <w:rsid w:val="008D2DBA"/>
    <w:rsid w:val="008D2DED"/>
    <w:rsid w:val="008D2E10"/>
    <w:rsid w:val="008D2E88"/>
    <w:rsid w:val="008D31AA"/>
    <w:rsid w:val="008D3214"/>
    <w:rsid w:val="008D352C"/>
    <w:rsid w:val="008D35C4"/>
    <w:rsid w:val="008D3664"/>
    <w:rsid w:val="008D385B"/>
    <w:rsid w:val="008D39CE"/>
    <w:rsid w:val="008D39F4"/>
    <w:rsid w:val="008D3A6C"/>
    <w:rsid w:val="008D3E47"/>
    <w:rsid w:val="008D3E4E"/>
    <w:rsid w:val="008D40AE"/>
    <w:rsid w:val="008D4386"/>
    <w:rsid w:val="008D4471"/>
    <w:rsid w:val="008D44BD"/>
    <w:rsid w:val="008D4634"/>
    <w:rsid w:val="008D464D"/>
    <w:rsid w:val="008D46F1"/>
    <w:rsid w:val="008D490F"/>
    <w:rsid w:val="008D492E"/>
    <w:rsid w:val="008D4AA5"/>
    <w:rsid w:val="008D4B7B"/>
    <w:rsid w:val="008D506E"/>
    <w:rsid w:val="008D50D7"/>
    <w:rsid w:val="008D5100"/>
    <w:rsid w:val="008D51E8"/>
    <w:rsid w:val="008D56BD"/>
    <w:rsid w:val="008D58AC"/>
    <w:rsid w:val="008D591B"/>
    <w:rsid w:val="008D593F"/>
    <w:rsid w:val="008D5940"/>
    <w:rsid w:val="008D59D5"/>
    <w:rsid w:val="008D5C79"/>
    <w:rsid w:val="008D5FAD"/>
    <w:rsid w:val="008D6041"/>
    <w:rsid w:val="008D60C4"/>
    <w:rsid w:val="008D61E0"/>
    <w:rsid w:val="008D621E"/>
    <w:rsid w:val="008D6479"/>
    <w:rsid w:val="008D6BE8"/>
    <w:rsid w:val="008D6EFE"/>
    <w:rsid w:val="008D6F35"/>
    <w:rsid w:val="008D7062"/>
    <w:rsid w:val="008D7069"/>
    <w:rsid w:val="008D70B3"/>
    <w:rsid w:val="008D7483"/>
    <w:rsid w:val="008D74D9"/>
    <w:rsid w:val="008D7973"/>
    <w:rsid w:val="008D7B75"/>
    <w:rsid w:val="008D7DC5"/>
    <w:rsid w:val="008D7FFD"/>
    <w:rsid w:val="008E01AD"/>
    <w:rsid w:val="008E02F1"/>
    <w:rsid w:val="008E09EC"/>
    <w:rsid w:val="008E0D50"/>
    <w:rsid w:val="008E0DAB"/>
    <w:rsid w:val="008E0DF7"/>
    <w:rsid w:val="008E0E54"/>
    <w:rsid w:val="008E114B"/>
    <w:rsid w:val="008E149B"/>
    <w:rsid w:val="008E1694"/>
    <w:rsid w:val="008E16D9"/>
    <w:rsid w:val="008E1B75"/>
    <w:rsid w:val="008E1D1B"/>
    <w:rsid w:val="008E1DC1"/>
    <w:rsid w:val="008E1E1A"/>
    <w:rsid w:val="008E2048"/>
    <w:rsid w:val="008E232D"/>
    <w:rsid w:val="008E2456"/>
    <w:rsid w:val="008E2A74"/>
    <w:rsid w:val="008E2D2A"/>
    <w:rsid w:val="008E2E62"/>
    <w:rsid w:val="008E2F0B"/>
    <w:rsid w:val="008E3045"/>
    <w:rsid w:val="008E3192"/>
    <w:rsid w:val="008E32DA"/>
    <w:rsid w:val="008E3755"/>
    <w:rsid w:val="008E3914"/>
    <w:rsid w:val="008E39F9"/>
    <w:rsid w:val="008E3C5D"/>
    <w:rsid w:val="008E3E8F"/>
    <w:rsid w:val="008E42B0"/>
    <w:rsid w:val="008E44AB"/>
    <w:rsid w:val="008E45D5"/>
    <w:rsid w:val="008E465A"/>
    <w:rsid w:val="008E4B59"/>
    <w:rsid w:val="008E4D58"/>
    <w:rsid w:val="008E5018"/>
    <w:rsid w:val="008E5097"/>
    <w:rsid w:val="008E5129"/>
    <w:rsid w:val="008E5457"/>
    <w:rsid w:val="008E553D"/>
    <w:rsid w:val="008E556D"/>
    <w:rsid w:val="008E561E"/>
    <w:rsid w:val="008E5891"/>
    <w:rsid w:val="008E5929"/>
    <w:rsid w:val="008E5AE2"/>
    <w:rsid w:val="008E5B16"/>
    <w:rsid w:val="008E5B8E"/>
    <w:rsid w:val="008E5FE3"/>
    <w:rsid w:val="008E6172"/>
    <w:rsid w:val="008E6299"/>
    <w:rsid w:val="008E6616"/>
    <w:rsid w:val="008E666A"/>
    <w:rsid w:val="008E66C2"/>
    <w:rsid w:val="008E6773"/>
    <w:rsid w:val="008E680B"/>
    <w:rsid w:val="008E684C"/>
    <w:rsid w:val="008E6BA1"/>
    <w:rsid w:val="008E6BAE"/>
    <w:rsid w:val="008E6F97"/>
    <w:rsid w:val="008E7104"/>
    <w:rsid w:val="008E713C"/>
    <w:rsid w:val="008E7264"/>
    <w:rsid w:val="008E75F8"/>
    <w:rsid w:val="008E7DBB"/>
    <w:rsid w:val="008E7DF3"/>
    <w:rsid w:val="008E7E42"/>
    <w:rsid w:val="008E7F11"/>
    <w:rsid w:val="008E7F66"/>
    <w:rsid w:val="008E7F7C"/>
    <w:rsid w:val="008E7FC4"/>
    <w:rsid w:val="008E7FFB"/>
    <w:rsid w:val="008F0036"/>
    <w:rsid w:val="008F0055"/>
    <w:rsid w:val="008F016E"/>
    <w:rsid w:val="008F02AE"/>
    <w:rsid w:val="008F0592"/>
    <w:rsid w:val="008F064F"/>
    <w:rsid w:val="008F0660"/>
    <w:rsid w:val="008F096E"/>
    <w:rsid w:val="008F0991"/>
    <w:rsid w:val="008F0AED"/>
    <w:rsid w:val="008F0AEF"/>
    <w:rsid w:val="008F0B0B"/>
    <w:rsid w:val="008F0C60"/>
    <w:rsid w:val="008F0E29"/>
    <w:rsid w:val="008F0EB0"/>
    <w:rsid w:val="008F0F72"/>
    <w:rsid w:val="008F0F8E"/>
    <w:rsid w:val="008F1318"/>
    <w:rsid w:val="008F1669"/>
    <w:rsid w:val="008F197B"/>
    <w:rsid w:val="008F199B"/>
    <w:rsid w:val="008F1B2E"/>
    <w:rsid w:val="008F1C93"/>
    <w:rsid w:val="008F1D01"/>
    <w:rsid w:val="008F1D3F"/>
    <w:rsid w:val="008F1D4A"/>
    <w:rsid w:val="008F1D7E"/>
    <w:rsid w:val="008F25F7"/>
    <w:rsid w:val="008F26A1"/>
    <w:rsid w:val="008F2719"/>
    <w:rsid w:val="008F280B"/>
    <w:rsid w:val="008F283D"/>
    <w:rsid w:val="008F2B77"/>
    <w:rsid w:val="008F2C3A"/>
    <w:rsid w:val="008F2D54"/>
    <w:rsid w:val="008F2F44"/>
    <w:rsid w:val="008F3014"/>
    <w:rsid w:val="008F3192"/>
    <w:rsid w:val="008F362A"/>
    <w:rsid w:val="008F36AD"/>
    <w:rsid w:val="008F37CA"/>
    <w:rsid w:val="008F3A12"/>
    <w:rsid w:val="008F3AA2"/>
    <w:rsid w:val="008F3B8C"/>
    <w:rsid w:val="008F3BBD"/>
    <w:rsid w:val="008F3D30"/>
    <w:rsid w:val="008F3D39"/>
    <w:rsid w:val="008F3E6B"/>
    <w:rsid w:val="008F3EF5"/>
    <w:rsid w:val="008F3FB5"/>
    <w:rsid w:val="008F4368"/>
    <w:rsid w:val="008F4591"/>
    <w:rsid w:val="008F47F1"/>
    <w:rsid w:val="008F4845"/>
    <w:rsid w:val="008F4A93"/>
    <w:rsid w:val="008F4E11"/>
    <w:rsid w:val="008F5272"/>
    <w:rsid w:val="008F5638"/>
    <w:rsid w:val="008F5766"/>
    <w:rsid w:val="008F57DD"/>
    <w:rsid w:val="008F5A35"/>
    <w:rsid w:val="008F5C16"/>
    <w:rsid w:val="008F5E3A"/>
    <w:rsid w:val="008F6125"/>
    <w:rsid w:val="008F6164"/>
    <w:rsid w:val="008F6228"/>
    <w:rsid w:val="008F637F"/>
    <w:rsid w:val="008F660C"/>
    <w:rsid w:val="008F665A"/>
    <w:rsid w:val="008F678A"/>
    <w:rsid w:val="008F67AF"/>
    <w:rsid w:val="008F68F8"/>
    <w:rsid w:val="008F6B7F"/>
    <w:rsid w:val="008F6E91"/>
    <w:rsid w:val="008F6F0F"/>
    <w:rsid w:val="008F7082"/>
    <w:rsid w:val="008F7254"/>
    <w:rsid w:val="008F7293"/>
    <w:rsid w:val="008F72B3"/>
    <w:rsid w:val="008F7488"/>
    <w:rsid w:val="008F751E"/>
    <w:rsid w:val="008F76E7"/>
    <w:rsid w:val="008F773D"/>
    <w:rsid w:val="008F7870"/>
    <w:rsid w:val="008F78BD"/>
    <w:rsid w:val="008F78F4"/>
    <w:rsid w:val="008F7A55"/>
    <w:rsid w:val="008F7E91"/>
    <w:rsid w:val="00900013"/>
    <w:rsid w:val="009000DA"/>
    <w:rsid w:val="00900204"/>
    <w:rsid w:val="009006B6"/>
    <w:rsid w:val="00900764"/>
    <w:rsid w:val="009009A6"/>
    <w:rsid w:val="00900E5C"/>
    <w:rsid w:val="009010E0"/>
    <w:rsid w:val="00901141"/>
    <w:rsid w:val="009011E1"/>
    <w:rsid w:val="009014C8"/>
    <w:rsid w:val="00901583"/>
    <w:rsid w:val="009016AC"/>
    <w:rsid w:val="009018AF"/>
    <w:rsid w:val="009018B8"/>
    <w:rsid w:val="009018C8"/>
    <w:rsid w:val="00901A70"/>
    <w:rsid w:val="00901AFD"/>
    <w:rsid w:val="00901B87"/>
    <w:rsid w:val="00901D17"/>
    <w:rsid w:val="00901DC8"/>
    <w:rsid w:val="00901EBC"/>
    <w:rsid w:val="0090225A"/>
    <w:rsid w:val="00902316"/>
    <w:rsid w:val="00902574"/>
    <w:rsid w:val="00902F76"/>
    <w:rsid w:val="00902FE7"/>
    <w:rsid w:val="009030CD"/>
    <w:rsid w:val="00903464"/>
    <w:rsid w:val="00903583"/>
    <w:rsid w:val="009035CC"/>
    <w:rsid w:val="00903A58"/>
    <w:rsid w:val="00903E43"/>
    <w:rsid w:val="00904324"/>
    <w:rsid w:val="00904577"/>
    <w:rsid w:val="009045E2"/>
    <w:rsid w:val="00904614"/>
    <w:rsid w:val="0090461F"/>
    <w:rsid w:val="00904649"/>
    <w:rsid w:val="0090480C"/>
    <w:rsid w:val="00904BA0"/>
    <w:rsid w:val="00905270"/>
    <w:rsid w:val="009055EB"/>
    <w:rsid w:val="00905600"/>
    <w:rsid w:val="009059DE"/>
    <w:rsid w:val="009059E0"/>
    <w:rsid w:val="00905AB5"/>
    <w:rsid w:val="00905EDA"/>
    <w:rsid w:val="00905F6F"/>
    <w:rsid w:val="0090628F"/>
    <w:rsid w:val="00906517"/>
    <w:rsid w:val="00906538"/>
    <w:rsid w:val="00906673"/>
    <w:rsid w:val="009068AE"/>
    <w:rsid w:val="00906B21"/>
    <w:rsid w:val="00906C42"/>
    <w:rsid w:val="00906DE2"/>
    <w:rsid w:val="00907065"/>
    <w:rsid w:val="0090714F"/>
    <w:rsid w:val="0090733E"/>
    <w:rsid w:val="00907513"/>
    <w:rsid w:val="00907515"/>
    <w:rsid w:val="00907BB1"/>
    <w:rsid w:val="00907BD9"/>
    <w:rsid w:val="00907BE4"/>
    <w:rsid w:val="00907C13"/>
    <w:rsid w:val="00907D4C"/>
    <w:rsid w:val="00907DD0"/>
    <w:rsid w:val="0091007B"/>
    <w:rsid w:val="00910121"/>
    <w:rsid w:val="00910588"/>
    <w:rsid w:val="009107B7"/>
    <w:rsid w:val="00910847"/>
    <w:rsid w:val="00910AE8"/>
    <w:rsid w:val="00910BCE"/>
    <w:rsid w:val="00910EC2"/>
    <w:rsid w:val="00910FB6"/>
    <w:rsid w:val="009112CB"/>
    <w:rsid w:val="00911300"/>
    <w:rsid w:val="00911436"/>
    <w:rsid w:val="009114E7"/>
    <w:rsid w:val="00911565"/>
    <w:rsid w:val="009115D0"/>
    <w:rsid w:val="009115E1"/>
    <w:rsid w:val="009116B0"/>
    <w:rsid w:val="009116E8"/>
    <w:rsid w:val="00911943"/>
    <w:rsid w:val="00911A5D"/>
    <w:rsid w:val="00911B58"/>
    <w:rsid w:val="00911CD2"/>
    <w:rsid w:val="009122E2"/>
    <w:rsid w:val="0091264F"/>
    <w:rsid w:val="00912734"/>
    <w:rsid w:val="0091288A"/>
    <w:rsid w:val="00912A00"/>
    <w:rsid w:val="00912C8E"/>
    <w:rsid w:val="00912ED8"/>
    <w:rsid w:val="00912EFA"/>
    <w:rsid w:val="00912F0B"/>
    <w:rsid w:val="009131E2"/>
    <w:rsid w:val="009133A5"/>
    <w:rsid w:val="009133C9"/>
    <w:rsid w:val="009137B7"/>
    <w:rsid w:val="009137F9"/>
    <w:rsid w:val="0091382A"/>
    <w:rsid w:val="00913AFA"/>
    <w:rsid w:val="00913D04"/>
    <w:rsid w:val="00913DAB"/>
    <w:rsid w:val="00914164"/>
    <w:rsid w:val="009142FC"/>
    <w:rsid w:val="0091445A"/>
    <w:rsid w:val="00914487"/>
    <w:rsid w:val="00914680"/>
    <w:rsid w:val="0091477C"/>
    <w:rsid w:val="009149B6"/>
    <w:rsid w:val="00914A73"/>
    <w:rsid w:val="0091533E"/>
    <w:rsid w:val="00915384"/>
    <w:rsid w:val="009155CF"/>
    <w:rsid w:val="009157C5"/>
    <w:rsid w:val="009158D3"/>
    <w:rsid w:val="0091595A"/>
    <w:rsid w:val="009159B2"/>
    <w:rsid w:val="00915B8F"/>
    <w:rsid w:val="00915C0D"/>
    <w:rsid w:val="00915CCF"/>
    <w:rsid w:val="00915D77"/>
    <w:rsid w:val="00916094"/>
    <w:rsid w:val="00916113"/>
    <w:rsid w:val="009162F3"/>
    <w:rsid w:val="00916343"/>
    <w:rsid w:val="00916530"/>
    <w:rsid w:val="00916607"/>
    <w:rsid w:val="00916757"/>
    <w:rsid w:val="00916C00"/>
    <w:rsid w:val="00916F46"/>
    <w:rsid w:val="00917534"/>
    <w:rsid w:val="00917678"/>
    <w:rsid w:val="00917C15"/>
    <w:rsid w:val="00917C8D"/>
    <w:rsid w:val="00917DAC"/>
    <w:rsid w:val="00917F32"/>
    <w:rsid w:val="009200AE"/>
    <w:rsid w:val="009201B0"/>
    <w:rsid w:val="009201ED"/>
    <w:rsid w:val="009202B4"/>
    <w:rsid w:val="0092040D"/>
    <w:rsid w:val="0092097C"/>
    <w:rsid w:val="0092098C"/>
    <w:rsid w:val="00920AC5"/>
    <w:rsid w:val="00920AFC"/>
    <w:rsid w:val="00920B0E"/>
    <w:rsid w:val="00920E01"/>
    <w:rsid w:val="00920ED5"/>
    <w:rsid w:val="009211C4"/>
    <w:rsid w:val="009212F8"/>
    <w:rsid w:val="009213EA"/>
    <w:rsid w:val="00921480"/>
    <w:rsid w:val="00921903"/>
    <w:rsid w:val="0092194E"/>
    <w:rsid w:val="00921A04"/>
    <w:rsid w:val="00921E09"/>
    <w:rsid w:val="00921E29"/>
    <w:rsid w:val="00921ED4"/>
    <w:rsid w:val="00922608"/>
    <w:rsid w:val="009228C3"/>
    <w:rsid w:val="0092293B"/>
    <w:rsid w:val="00922AD9"/>
    <w:rsid w:val="00922D80"/>
    <w:rsid w:val="00922ECF"/>
    <w:rsid w:val="009232DC"/>
    <w:rsid w:val="00923301"/>
    <w:rsid w:val="0092331A"/>
    <w:rsid w:val="00923582"/>
    <w:rsid w:val="00923589"/>
    <w:rsid w:val="00923863"/>
    <w:rsid w:val="00923870"/>
    <w:rsid w:val="009238D6"/>
    <w:rsid w:val="0092396D"/>
    <w:rsid w:val="00923A20"/>
    <w:rsid w:val="00923AA4"/>
    <w:rsid w:val="00923B12"/>
    <w:rsid w:val="00923B69"/>
    <w:rsid w:val="00923B99"/>
    <w:rsid w:val="00923C5C"/>
    <w:rsid w:val="00923D10"/>
    <w:rsid w:val="009240D9"/>
    <w:rsid w:val="00924175"/>
    <w:rsid w:val="009243E5"/>
    <w:rsid w:val="00924441"/>
    <w:rsid w:val="0092450E"/>
    <w:rsid w:val="0092452E"/>
    <w:rsid w:val="0092455D"/>
    <w:rsid w:val="00924750"/>
    <w:rsid w:val="00924948"/>
    <w:rsid w:val="0092494A"/>
    <w:rsid w:val="00924B07"/>
    <w:rsid w:val="00924B1A"/>
    <w:rsid w:val="00924EF5"/>
    <w:rsid w:val="00924F50"/>
    <w:rsid w:val="009251AE"/>
    <w:rsid w:val="009251D4"/>
    <w:rsid w:val="0092536D"/>
    <w:rsid w:val="009253C9"/>
    <w:rsid w:val="00925454"/>
    <w:rsid w:val="0092547E"/>
    <w:rsid w:val="00925716"/>
    <w:rsid w:val="00925772"/>
    <w:rsid w:val="00925BF1"/>
    <w:rsid w:val="00925DB3"/>
    <w:rsid w:val="00926316"/>
    <w:rsid w:val="0092653E"/>
    <w:rsid w:val="009265EA"/>
    <w:rsid w:val="0092672E"/>
    <w:rsid w:val="0092682E"/>
    <w:rsid w:val="00926951"/>
    <w:rsid w:val="00926B14"/>
    <w:rsid w:val="00926B63"/>
    <w:rsid w:val="00926BCF"/>
    <w:rsid w:val="00926C4B"/>
    <w:rsid w:val="00926E33"/>
    <w:rsid w:val="00926EF6"/>
    <w:rsid w:val="00926F61"/>
    <w:rsid w:val="00926FF4"/>
    <w:rsid w:val="009272D2"/>
    <w:rsid w:val="00927332"/>
    <w:rsid w:val="0092734E"/>
    <w:rsid w:val="009279F5"/>
    <w:rsid w:val="00927DDF"/>
    <w:rsid w:val="00927EB1"/>
    <w:rsid w:val="0093001A"/>
    <w:rsid w:val="009300CC"/>
    <w:rsid w:val="0093025D"/>
    <w:rsid w:val="009302AF"/>
    <w:rsid w:val="00930417"/>
    <w:rsid w:val="009307C0"/>
    <w:rsid w:val="00930D06"/>
    <w:rsid w:val="00930D9B"/>
    <w:rsid w:val="00930F77"/>
    <w:rsid w:val="00930FE9"/>
    <w:rsid w:val="0093104B"/>
    <w:rsid w:val="00931211"/>
    <w:rsid w:val="00931632"/>
    <w:rsid w:val="009316F5"/>
    <w:rsid w:val="00931966"/>
    <w:rsid w:val="00931B7B"/>
    <w:rsid w:val="00931C1E"/>
    <w:rsid w:val="00931D8E"/>
    <w:rsid w:val="00931EF8"/>
    <w:rsid w:val="009325FD"/>
    <w:rsid w:val="009327CB"/>
    <w:rsid w:val="00932A24"/>
    <w:rsid w:val="00932A77"/>
    <w:rsid w:val="00932B65"/>
    <w:rsid w:val="00932F1B"/>
    <w:rsid w:val="00933010"/>
    <w:rsid w:val="00933081"/>
    <w:rsid w:val="009332E1"/>
    <w:rsid w:val="009334C8"/>
    <w:rsid w:val="009335BC"/>
    <w:rsid w:val="00933A05"/>
    <w:rsid w:val="00933AE0"/>
    <w:rsid w:val="00933B29"/>
    <w:rsid w:val="00933D37"/>
    <w:rsid w:val="00933D87"/>
    <w:rsid w:val="00933D93"/>
    <w:rsid w:val="00933FED"/>
    <w:rsid w:val="009340C8"/>
    <w:rsid w:val="009341A7"/>
    <w:rsid w:val="009344BE"/>
    <w:rsid w:val="00934596"/>
    <w:rsid w:val="00934634"/>
    <w:rsid w:val="00934778"/>
    <w:rsid w:val="00934979"/>
    <w:rsid w:val="00934A80"/>
    <w:rsid w:val="00934C26"/>
    <w:rsid w:val="00934D1C"/>
    <w:rsid w:val="0093507D"/>
    <w:rsid w:val="009350B8"/>
    <w:rsid w:val="00935144"/>
    <w:rsid w:val="0093523B"/>
    <w:rsid w:val="00935372"/>
    <w:rsid w:val="0093537F"/>
    <w:rsid w:val="009354D5"/>
    <w:rsid w:val="009357CA"/>
    <w:rsid w:val="00935A9D"/>
    <w:rsid w:val="00935B70"/>
    <w:rsid w:val="00935BF1"/>
    <w:rsid w:val="00935C4A"/>
    <w:rsid w:val="00935F15"/>
    <w:rsid w:val="00935F5C"/>
    <w:rsid w:val="00935F7A"/>
    <w:rsid w:val="009361C0"/>
    <w:rsid w:val="00936443"/>
    <w:rsid w:val="0093650D"/>
    <w:rsid w:val="0093668F"/>
    <w:rsid w:val="009367D4"/>
    <w:rsid w:val="00936CEF"/>
    <w:rsid w:val="00936D18"/>
    <w:rsid w:val="00936FC4"/>
    <w:rsid w:val="00937091"/>
    <w:rsid w:val="00937277"/>
    <w:rsid w:val="009374A7"/>
    <w:rsid w:val="009377CE"/>
    <w:rsid w:val="00937A38"/>
    <w:rsid w:val="00937E68"/>
    <w:rsid w:val="00940126"/>
    <w:rsid w:val="00940148"/>
    <w:rsid w:val="0094014E"/>
    <w:rsid w:val="009401F5"/>
    <w:rsid w:val="0094044D"/>
    <w:rsid w:val="0094046C"/>
    <w:rsid w:val="0094072B"/>
    <w:rsid w:val="009407F8"/>
    <w:rsid w:val="0094097E"/>
    <w:rsid w:val="00940C0A"/>
    <w:rsid w:val="00940F3D"/>
    <w:rsid w:val="00941160"/>
    <w:rsid w:val="00941241"/>
    <w:rsid w:val="009412BC"/>
    <w:rsid w:val="00941356"/>
    <w:rsid w:val="0094152E"/>
    <w:rsid w:val="00941740"/>
    <w:rsid w:val="00941743"/>
    <w:rsid w:val="009418AB"/>
    <w:rsid w:val="00941A2A"/>
    <w:rsid w:val="00941DD2"/>
    <w:rsid w:val="009423B7"/>
    <w:rsid w:val="009425C6"/>
    <w:rsid w:val="009426A0"/>
    <w:rsid w:val="00942763"/>
    <w:rsid w:val="0094287F"/>
    <w:rsid w:val="0094289A"/>
    <w:rsid w:val="00942975"/>
    <w:rsid w:val="00942C81"/>
    <w:rsid w:val="00942D79"/>
    <w:rsid w:val="00942E10"/>
    <w:rsid w:val="00942EE8"/>
    <w:rsid w:val="009430CA"/>
    <w:rsid w:val="00943199"/>
    <w:rsid w:val="0094326F"/>
    <w:rsid w:val="0094327E"/>
    <w:rsid w:val="00943400"/>
    <w:rsid w:val="00943608"/>
    <w:rsid w:val="009438A4"/>
    <w:rsid w:val="00943B1E"/>
    <w:rsid w:val="00943B8F"/>
    <w:rsid w:val="00943CAA"/>
    <w:rsid w:val="00943CE7"/>
    <w:rsid w:val="00943D5E"/>
    <w:rsid w:val="00943E4D"/>
    <w:rsid w:val="00943E8F"/>
    <w:rsid w:val="009440BB"/>
    <w:rsid w:val="0094438E"/>
    <w:rsid w:val="009443F4"/>
    <w:rsid w:val="0094450B"/>
    <w:rsid w:val="0094462A"/>
    <w:rsid w:val="00944897"/>
    <w:rsid w:val="00944A4F"/>
    <w:rsid w:val="00944AD7"/>
    <w:rsid w:val="00944B66"/>
    <w:rsid w:val="00944D34"/>
    <w:rsid w:val="00944DC5"/>
    <w:rsid w:val="00945205"/>
    <w:rsid w:val="00945230"/>
    <w:rsid w:val="00945248"/>
    <w:rsid w:val="0094525E"/>
    <w:rsid w:val="009453E6"/>
    <w:rsid w:val="009454F1"/>
    <w:rsid w:val="009455CF"/>
    <w:rsid w:val="009457DB"/>
    <w:rsid w:val="009459F0"/>
    <w:rsid w:val="00945A29"/>
    <w:rsid w:val="00945AC5"/>
    <w:rsid w:val="00945CBF"/>
    <w:rsid w:val="00945CDF"/>
    <w:rsid w:val="00945CF3"/>
    <w:rsid w:val="00945D91"/>
    <w:rsid w:val="00945E37"/>
    <w:rsid w:val="00945E66"/>
    <w:rsid w:val="009460A4"/>
    <w:rsid w:val="00946175"/>
    <w:rsid w:val="0094618A"/>
    <w:rsid w:val="009462EF"/>
    <w:rsid w:val="00946398"/>
    <w:rsid w:val="00946508"/>
    <w:rsid w:val="00946553"/>
    <w:rsid w:val="00946572"/>
    <w:rsid w:val="00946742"/>
    <w:rsid w:val="00946A68"/>
    <w:rsid w:val="00946CB8"/>
    <w:rsid w:val="00946D1A"/>
    <w:rsid w:val="00946E22"/>
    <w:rsid w:val="00946F73"/>
    <w:rsid w:val="00947284"/>
    <w:rsid w:val="009476B8"/>
    <w:rsid w:val="00947763"/>
    <w:rsid w:val="0094796E"/>
    <w:rsid w:val="00947986"/>
    <w:rsid w:val="00947AB1"/>
    <w:rsid w:val="00947ADC"/>
    <w:rsid w:val="00947C1E"/>
    <w:rsid w:val="00947E9D"/>
    <w:rsid w:val="0095003E"/>
    <w:rsid w:val="0095003F"/>
    <w:rsid w:val="0095010A"/>
    <w:rsid w:val="00950171"/>
    <w:rsid w:val="00950325"/>
    <w:rsid w:val="00950339"/>
    <w:rsid w:val="00950526"/>
    <w:rsid w:val="00950566"/>
    <w:rsid w:val="009507F0"/>
    <w:rsid w:val="00950945"/>
    <w:rsid w:val="009509CA"/>
    <w:rsid w:val="00950A2C"/>
    <w:rsid w:val="00950C13"/>
    <w:rsid w:val="00950DBA"/>
    <w:rsid w:val="00950E29"/>
    <w:rsid w:val="00950ECE"/>
    <w:rsid w:val="00950F8F"/>
    <w:rsid w:val="00951046"/>
    <w:rsid w:val="0095111A"/>
    <w:rsid w:val="00951200"/>
    <w:rsid w:val="009513F4"/>
    <w:rsid w:val="009514B2"/>
    <w:rsid w:val="0095155B"/>
    <w:rsid w:val="00951577"/>
    <w:rsid w:val="00951731"/>
    <w:rsid w:val="009517E5"/>
    <w:rsid w:val="00951C46"/>
    <w:rsid w:val="00951C6B"/>
    <w:rsid w:val="00951DB2"/>
    <w:rsid w:val="00951E21"/>
    <w:rsid w:val="009520F7"/>
    <w:rsid w:val="00952333"/>
    <w:rsid w:val="0095234D"/>
    <w:rsid w:val="00952912"/>
    <w:rsid w:val="00952ADC"/>
    <w:rsid w:val="00952E66"/>
    <w:rsid w:val="0095329F"/>
    <w:rsid w:val="0095360C"/>
    <w:rsid w:val="00953B30"/>
    <w:rsid w:val="00953B63"/>
    <w:rsid w:val="00953C32"/>
    <w:rsid w:val="009540C0"/>
    <w:rsid w:val="009542B7"/>
    <w:rsid w:val="00954453"/>
    <w:rsid w:val="00954A83"/>
    <w:rsid w:val="00954D3F"/>
    <w:rsid w:val="00954EC5"/>
    <w:rsid w:val="00954ECA"/>
    <w:rsid w:val="009551C9"/>
    <w:rsid w:val="009552CA"/>
    <w:rsid w:val="00955371"/>
    <w:rsid w:val="0095578F"/>
    <w:rsid w:val="00955798"/>
    <w:rsid w:val="00955851"/>
    <w:rsid w:val="0095594F"/>
    <w:rsid w:val="00955DD3"/>
    <w:rsid w:val="00955EA5"/>
    <w:rsid w:val="0095640A"/>
    <w:rsid w:val="0095655F"/>
    <w:rsid w:val="0095657E"/>
    <w:rsid w:val="00956867"/>
    <w:rsid w:val="00956882"/>
    <w:rsid w:val="00956A41"/>
    <w:rsid w:val="00956B4B"/>
    <w:rsid w:val="00956C24"/>
    <w:rsid w:val="00956EFA"/>
    <w:rsid w:val="00956F0B"/>
    <w:rsid w:val="00957224"/>
    <w:rsid w:val="00957283"/>
    <w:rsid w:val="00957298"/>
    <w:rsid w:val="009572FE"/>
    <w:rsid w:val="00957486"/>
    <w:rsid w:val="00957718"/>
    <w:rsid w:val="009578D1"/>
    <w:rsid w:val="00957953"/>
    <w:rsid w:val="00957AD0"/>
    <w:rsid w:val="00957BEC"/>
    <w:rsid w:val="00957C15"/>
    <w:rsid w:val="00957DA8"/>
    <w:rsid w:val="00957DFB"/>
    <w:rsid w:val="00957E35"/>
    <w:rsid w:val="00957E36"/>
    <w:rsid w:val="00957F3F"/>
    <w:rsid w:val="0096006A"/>
    <w:rsid w:val="00960147"/>
    <w:rsid w:val="0096015B"/>
    <w:rsid w:val="009602E0"/>
    <w:rsid w:val="00960544"/>
    <w:rsid w:val="0096056B"/>
    <w:rsid w:val="00960577"/>
    <w:rsid w:val="00960647"/>
    <w:rsid w:val="00960880"/>
    <w:rsid w:val="00960A69"/>
    <w:rsid w:val="00960B82"/>
    <w:rsid w:val="00960BD1"/>
    <w:rsid w:val="00960E11"/>
    <w:rsid w:val="00960F46"/>
    <w:rsid w:val="009610BC"/>
    <w:rsid w:val="0096112B"/>
    <w:rsid w:val="00961133"/>
    <w:rsid w:val="0096135E"/>
    <w:rsid w:val="0096137A"/>
    <w:rsid w:val="009613FC"/>
    <w:rsid w:val="00961944"/>
    <w:rsid w:val="00961B1B"/>
    <w:rsid w:val="00961DB4"/>
    <w:rsid w:val="00962485"/>
    <w:rsid w:val="00962567"/>
    <w:rsid w:val="0096261B"/>
    <w:rsid w:val="009626C4"/>
    <w:rsid w:val="00962935"/>
    <w:rsid w:val="00962958"/>
    <w:rsid w:val="00962CF3"/>
    <w:rsid w:val="00962DA5"/>
    <w:rsid w:val="00962E1E"/>
    <w:rsid w:val="009631BB"/>
    <w:rsid w:val="009631EB"/>
    <w:rsid w:val="0096326F"/>
    <w:rsid w:val="00963477"/>
    <w:rsid w:val="0096383B"/>
    <w:rsid w:val="009638FF"/>
    <w:rsid w:val="00963ABF"/>
    <w:rsid w:val="00963B4F"/>
    <w:rsid w:val="00963BB4"/>
    <w:rsid w:val="00963C69"/>
    <w:rsid w:val="00963ED2"/>
    <w:rsid w:val="0096403B"/>
    <w:rsid w:val="00964079"/>
    <w:rsid w:val="009641CF"/>
    <w:rsid w:val="009642DF"/>
    <w:rsid w:val="009645DD"/>
    <w:rsid w:val="00964850"/>
    <w:rsid w:val="00964889"/>
    <w:rsid w:val="00964C1A"/>
    <w:rsid w:val="00964D54"/>
    <w:rsid w:val="00965079"/>
    <w:rsid w:val="0096508B"/>
    <w:rsid w:val="0096556C"/>
    <w:rsid w:val="00965847"/>
    <w:rsid w:val="00965863"/>
    <w:rsid w:val="009658DE"/>
    <w:rsid w:val="00965A1C"/>
    <w:rsid w:val="00965B99"/>
    <w:rsid w:val="00965CDE"/>
    <w:rsid w:val="00966280"/>
    <w:rsid w:val="009664CC"/>
    <w:rsid w:val="00966A7A"/>
    <w:rsid w:val="00966CB6"/>
    <w:rsid w:val="00967132"/>
    <w:rsid w:val="00967292"/>
    <w:rsid w:val="009678A0"/>
    <w:rsid w:val="00967975"/>
    <w:rsid w:val="009679C7"/>
    <w:rsid w:val="00967C37"/>
    <w:rsid w:val="009701BE"/>
    <w:rsid w:val="009703D7"/>
    <w:rsid w:val="009704F7"/>
    <w:rsid w:val="009706E0"/>
    <w:rsid w:val="00970915"/>
    <w:rsid w:val="009711F2"/>
    <w:rsid w:val="009713BD"/>
    <w:rsid w:val="00971438"/>
    <w:rsid w:val="00971458"/>
    <w:rsid w:val="00971478"/>
    <w:rsid w:val="009716C1"/>
    <w:rsid w:val="00971820"/>
    <w:rsid w:val="00971BB3"/>
    <w:rsid w:val="00971D0F"/>
    <w:rsid w:val="00971E23"/>
    <w:rsid w:val="0097204A"/>
    <w:rsid w:val="0097207E"/>
    <w:rsid w:val="009720D6"/>
    <w:rsid w:val="00972599"/>
    <w:rsid w:val="0097259C"/>
    <w:rsid w:val="009729B6"/>
    <w:rsid w:val="00972A03"/>
    <w:rsid w:val="00972A70"/>
    <w:rsid w:val="00972B73"/>
    <w:rsid w:val="009733DF"/>
    <w:rsid w:val="00973A73"/>
    <w:rsid w:val="00973AFC"/>
    <w:rsid w:val="00973E2B"/>
    <w:rsid w:val="00973EA3"/>
    <w:rsid w:val="00973ED7"/>
    <w:rsid w:val="00973F2B"/>
    <w:rsid w:val="0097424E"/>
    <w:rsid w:val="0097450B"/>
    <w:rsid w:val="00974823"/>
    <w:rsid w:val="00974891"/>
    <w:rsid w:val="00974CB7"/>
    <w:rsid w:val="00974CCD"/>
    <w:rsid w:val="00975067"/>
    <w:rsid w:val="009750B3"/>
    <w:rsid w:val="0097562E"/>
    <w:rsid w:val="009759BB"/>
    <w:rsid w:val="00975AF5"/>
    <w:rsid w:val="00975EFB"/>
    <w:rsid w:val="00975F49"/>
    <w:rsid w:val="00976022"/>
    <w:rsid w:val="009760F3"/>
    <w:rsid w:val="00976126"/>
    <w:rsid w:val="00976211"/>
    <w:rsid w:val="0097628E"/>
    <w:rsid w:val="00976B1D"/>
    <w:rsid w:val="00976BF9"/>
    <w:rsid w:val="00976C9D"/>
    <w:rsid w:val="00976DC5"/>
    <w:rsid w:val="009770BA"/>
    <w:rsid w:val="009771F2"/>
    <w:rsid w:val="0097727B"/>
    <w:rsid w:val="009772DA"/>
    <w:rsid w:val="00977624"/>
    <w:rsid w:val="009777F7"/>
    <w:rsid w:val="0097784D"/>
    <w:rsid w:val="0097797A"/>
    <w:rsid w:val="00977CBB"/>
    <w:rsid w:val="00980043"/>
    <w:rsid w:val="00980132"/>
    <w:rsid w:val="009802D7"/>
    <w:rsid w:val="00980330"/>
    <w:rsid w:val="009803A2"/>
    <w:rsid w:val="00980529"/>
    <w:rsid w:val="009807D9"/>
    <w:rsid w:val="00980840"/>
    <w:rsid w:val="00980CD0"/>
    <w:rsid w:val="00981080"/>
    <w:rsid w:val="00981157"/>
    <w:rsid w:val="00981755"/>
    <w:rsid w:val="0098184B"/>
    <w:rsid w:val="00981A78"/>
    <w:rsid w:val="00981AEB"/>
    <w:rsid w:val="00981B13"/>
    <w:rsid w:val="00981D44"/>
    <w:rsid w:val="00982187"/>
    <w:rsid w:val="00982357"/>
    <w:rsid w:val="0098248C"/>
    <w:rsid w:val="0098279D"/>
    <w:rsid w:val="009829B6"/>
    <w:rsid w:val="00982A7C"/>
    <w:rsid w:val="00982C79"/>
    <w:rsid w:val="00983190"/>
    <w:rsid w:val="00983203"/>
    <w:rsid w:val="00983399"/>
    <w:rsid w:val="00983716"/>
    <w:rsid w:val="009839C7"/>
    <w:rsid w:val="00983AD4"/>
    <w:rsid w:val="00983C09"/>
    <w:rsid w:val="00983C2A"/>
    <w:rsid w:val="00983FF2"/>
    <w:rsid w:val="00984113"/>
    <w:rsid w:val="009843D2"/>
    <w:rsid w:val="00984675"/>
    <w:rsid w:val="009846FA"/>
    <w:rsid w:val="00984760"/>
    <w:rsid w:val="00984A94"/>
    <w:rsid w:val="00984BFB"/>
    <w:rsid w:val="00984CD6"/>
    <w:rsid w:val="00984DCC"/>
    <w:rsid w:val="00984E6D"/>
    <w:rsid w:val="00984EC4"/>
    <w:rsid w:val="0098511F"/>
    <w:rsid w:val="009851D3"/>
    <w:rsid w:val="009852C3"/>
    <w:rsid w:val="0098548B"/>
    <w:rsid w:val="00985567"/>
    <w:rsid w:val="0098556D"/>
    <w:rsid w:val="009855EF"/>
    <w:rsid w:val="009856D3"/>
    <w:rsid w:val="0098597D"/>
    <w:rsid w:val="00985B3D"/>
    <w:rsid w:val="00985BDF"/>
    <w:rsid w:val="00985D4F"/>
    <w:rsid w:val="00985D61"/>
    <w:rsid w:val="00985DCF"/>
    <w:rsid w:val="00986046"/>
    <w:rsid w:val="00986218"/>
    <w:rsid w:val="0098642A"/>
    <w:rsid w:val="0098649D"/>
    <w:rsid w:val="00986521"/>
    <w:rsid w:val="0098657D"/>
    <w:rsid w:val="0098678B"/>
    <w:rsid w:val="0098678F"/>
    <w:rsid w:val="009867D2"/>
    <w:rsid w:val="0098687F"/>
    <w:rsid w:val="00986CBE"/>
    <w:rsid w:val="00986D67"/>
    <w:rsid w:val="009875F0"/>
    <w:rsid w:val="009877D0"/>
    <w:rsid w:val="00987866"/>
    <w:rsid w:val="00987AD5"/>
    <w:rsid w:val="00987B43"/>
    <w:rsid w:val="00987EC3"/>
    <w:rsid w:val="00987FD3"/>
    <w:rsid w:val="0099000F"/>
    <w:rsid w:val="00990174"/>
    <w:rsid w:val="009901FD"/>
    <w:rsid w:val="009903B4"/>
    <w:rsid w:val="00990582"/>
    <w:rsid w:val="009909AE"/>
    <w:rsid w:val="00990A80"/>
    <w:rsid w:val="00990C01"/>
    <w:rsid w:val="00990E90"/>
    <w:rsid w:val="00990F48"/>
    <w:rsid w:val="0099117C"/>
    <w:rsid w:val="009911CA"/>
    <w:rsid w:val="0099125F"/>
    <w:rsid w:val="0099150A"/>
    <w:rsid w:val="00991587"/>
    <w:rsid w:val="009915D0"/>
    <w:rsid w:val="0099160A"/>
    <w:rsid w:val="009916F1"/>
    <w:rsid w:val="0099189E"/>
    <w:rsid w:val="009919CF"/>
    <w:rsid w:val="00991AF7"/>
    <w:rsid w:val="00991BA1"/>
    <w:rsid w:val="00991D23"/>
    <w:rsid w:val="00991F35"/>
    <w:rsid w:val="0099217B"/>
    <w:rsid w:val="009921CF"/>
    <w:rsid w:val="00992260"/>
    <w:rsid w:val="0099233F"/>
    <w:rsid w:val="0099252E"/>
    <w:rsid w:val="00992642"/>
    <w:rsid w:val="00992735"/>
    <w:rsid w:val="0099296C"/>
    <w:rsid w:val="00992BDC"/>
    <w:rsid w:val="00992D51"/>
    <w:rsid w:val="0099307E"/>
    <w:rsid w:val="00993219"/>
    <w:rsid w:val="00993590"/>
    <w:rsid w:val="00993638"/>
    <w:rsid w:val="009939DC"/>
    <w:rsid w:val="00993CB8"/>
    <w:rsid w:val="00993D62"/>
    <w:rsid w:val="00993E24"/>
    <w:rsid w:val="00993F9B"/>
    <w:rsid w:val="00994210"/>
    <w:rsid w:val="0099472A"/>
    <w:rsid w:val="0099481A"/>
    <w:rsid w:val="00994840"/>
    <w:rsid w:val="00994D84"/>
    <w:rsid w:val="009950E4"/>
    <w:rsid w:val="009951A3"/>
    <w:rsid w:val="0099538E"/>
    <w:rsid w:val="0099559B"/>
    <w:rsid w:val="00995B71"/>
    <w:rsid w:val="00995D93"/>
    <w:rsid w:val="00995DE9"/>
    <w:rsid w:val="00995E33"/>
    <w:rsid w:val="00995EA8"/>
    <w:rsid w:val="00996094"/>
    <w:rsid w:val="00996172"/>
    <w:rsid w:val="00996326"/>
    <w:rsid w:val="00996464"/>
    <w:rsid w:val="009964D7"/>
    <w:rsid w:val="0099664C"/>
    <w:rsid w:val="009967E4"/>
    <w:rsid w:val="009967FC"/>
    <w:rsid w:val="00996A20"/>
    <w:rsid w:val="00996A45"/>
    <w:rsid w:val="00996C60"/>
    <w:rsid w:val="00996D49"/>
    <w:rsid w:val="00996D63"/>
    <w:rsid w:val="00996D69"/>
    <w:rsid w:val="00996D77"/>
    <w:rsid w:val="00996D9D"/>
    <w:rsid w:val="009972EE"/>
    <w:rsid w:val="0099756B"/>
    <w:rsid w:val="009975ED"/>
    <w:rsid w:val="009975FF"/>
    <w:rsid w:val="00997600"/>
    <w:rsid w:val="00997849"/>
    <w:rsid w:val="00997A97"/>
    <w:rsid w:val="00997C30"/>
    <w:rsid w:val="009A03AF"/>
    <w:rsid w:val="009A03CE"/>
    <w:rsid w:val="009A03FF"/>
    <w:rsid w:val="009A05AC"/>
    <w:rsid w:val="009A086A"/>
    <w:rsid w:val="009A0A86"/>
    <w:rsid w:val="009A0AC8"/>
    <w:rsid w:val="009A0B06"/>
    <w:rsid w:val="009A0C95"/>
    <w:rsid w:val="009A0D76"/>
    <w:rsid w:val="009A0DF6"/>
    <w:rsid w:val="009A0F8E"/>
    <w:rsid w:val="009A100D"/>
    <w:rsid w:val="009A1019"/>
    <w:rsid w:val="009A12AD"/>
    <w:rsid w:val="009A12E3"/>
    <w:rsid w:val="009A15E4"/>
    <w:rsid w:val="009A15E6"/>
    <w:rsid w:val="009A17A5"/>
    <w:rsid w:val="009A1843"/>
    <w:rsid w:val="009A19B5"/>
    <w:rsid w:val="009A1A45"/>
    <w:rsid w:val="009A1CEE"/>
    <w:rsid w:val="009A1DAE"/>
    <w:rsid w:val="009A225B"/>
    <w:rsid w:val="009A2374"/>
    <w:rsid w:val="009A23DF"/>
    <w:rsid w:val="009A2614"/>
    <w:rsid w:val="009A2AFD"/>
    <w:rsid w:val="009A2C11"/>
    <w:rsid w:val="009A2C5F"/>
    <w:rsid w:val="009A2C6E"/>
    <w:rsid w:val="009A2CA7"/>
    <w:rsid w:val="009A2E2F"/>
    <w:rsid w:val="009A31EB"/>
    <w:rsid w:val="009A3390"/>
    <w:rsid w:val="009A3581"/>
    <w:rsid w:val="009A3814"/>
    <w:rsid w:val="009A383A"/>
    <w:rsid w:val="009A38B9"/>
    <w:rsid w:val="009A3CC5"/>
    <w:rsid w:val="009A401B"/>
    <w:rsid w:val="009A4418"/>
    <w:rsid w:val="009A46D4"/>
    <w:rsid w:val="009A4748"/>
    <w:rsid w:val="009A4819"/>
    <w:rsid w:val="009A49FC"/>
    <w:rsid w:val="009A4A1B"/>
    <w:rsid w:val="009A4DF1"/>
    <w:rsid w:val="009A4FC9"/>
    <w:rsid w:val="009A5080"/>
    <w:rsid w:val="009A51FA"/>
    <w:rsid w:val="009A5456"/>
    <w:rsid w:val="009A545D"/>
    <w:rsid w:val="009A57AE"/>
    <w:rsid w:val="009A5931"/>
    <w:rsid w:val="009A599A"/>
    <w:rsid w:val="009A5FC2"/>
    <w:rsid w:val="009A627B"/>
    <w:rsid w:val="009A67D0"/>
    <w:rsid w:val="009A683F"/>
    <w:rsid w:val="009A685D"/>
    <w:rsid w:val="009A6EA6"/>
    <w:rsid w:val="009A6F5E"/>
    <w:rsid w:val="009A6F79"/>
    <w:rsid w:val="009A7058"/>
    <w:rsid w:val="009A7080"/>
    <w:rsid w:val="009A70C0"/>
    <w:rsid w:val="009A71CC"/>
    <w:rsid w:val="009A7A39"/>
    <w:rsid w:val="009A7A3A"/>
    <w:rsid w:val="009A7B7B"/>
    <w:rsid w:val="009A7CDB"/>
    <w:rsid w:val="009A7D0B"/>
    <w:rsid w:val="009A7DF0"/>
    <w:rsid w:val="009A7EAA"/>
    <w:rsid w:val="009B01AB"/>
    <w:rsid w:val="009B0236"/>
    <w:rsid w:val="009B044C"/>
    <w:rsid w:val="009B059F"/>
    <w:rsid w:val="009B06DF"/>
    <w:rsid w:val="009B0B3C"/>
    <w:rsid w:val="009B0E1B"/>
    <w:rsid w:val="009B0F0B"/>
    <w:rsid w:val="009B0F12"/>
    <w:rsid w:val="009B0F6A"/>
    <w:rsid w:val="009B11CB"/>
    <w:rsid w:val="009B1413"/>
    <w:rsid w:val="009B1596"/>
    <w:rsid w:val="009B1979"/>
    <w:rsid w:val="009B1984"/>
    <w:rsid w:val="009B1999"/>
    <w:rsid w:val="009B19B4"/>
    <w:rsid w:val="009B1B68"/>
    <w:rsid w:val="009B21C1"/>
    <w:rsid w:val="009B22E2"/>
    <w:rsid w:val="009B2440"/>
    <w:rsid w:val="009B2B97"/>
    <w:rsid w:val="009B2FAB"/>
    <w:rsid w:val="009B2FD8"/>
    <w:rsid w:val="009B31D5"/>
    <w:rsid w:val="009B31D6"/>
    <w:rsid w:val="009B3565"/>
    <w:rsid w:val="009B356A"/>
    <w:rsid w:val="009B35DF"/>
    <w:rsid w:val="009B395C"/>
    <w:rsid w:val="009B39D0"/>
    <w:rsid w:val="009B3A64"/>
    <w:rsid w:val="009B3AAE"/>
    <w:rsid w:val="009B3AC2"/>
    <w:rsid w:val="009B3B35"/>
    <w:rsid w:val="009B3C35"/>
    <w:rsid w:val="009B3D93"/>
    <w:rsid w:val="009B3F98"/>
    <w:rsid w:val="009B4297"/>
    <w:rsid w:val="009B42D8"/>
    <w:rsid w:val="009B4305"/>
    <w:rsid w:val="009B43C0"/>
    <w:rsid w:val="009B45BD"/>
    <w:rsid w:val="009B4643"/>
    <w:rsid w:val="009B486E"/>
    <w:rsid w:val="009B4A60"/>
    <w:rsid w:val="009B4EC7"/>
    <w:rsid w:val="009B5090"/>
    <w:rsid w:val="009B5198"/>
    <w:rsid w:val="009B51E4"/>
    <w:rsid w:val="009B53C6"/>
    <w:rsid w:val="009B564F"/>
    <w:rsid w:val="009B592B"/>
    <w:rsid w:val="009B59D9"/>
    <w:rsid w:val="009B5A9D"/>
    <w:rsid w:val="009B5CD6"/>
    <w:rsid w:val="009B6036"/>
    <w:rsid w:val="009B6103"/>
    <w:rsid w:val="009B623A"/>
    <w:rsid w:val="009B625D"/>
    <w:rsid w:val="009B655F"/>
    <w:rsid w:val="009B66D3"/>
    <w:rsid w:val="009B67F5"/>
    <w:rsid w:val="009B6DD2"/>
    <w:rsid w:val="009B7030"/>
    <w:rsid w:val="009B7095"/>
    <w:rsid w:val="009B72AF"/>
    <w:rsid w:val="009B72CC"/>
    <w:rsid w:val="009B7633"/>
    <w:rsid w:val="009B7710"/>
    <w:rsid w:val="009B7B82"/>
    <w:rsid w:val="009B7C65"/>
    <w:rsid w:val="009B7E45"/>
    <w:rsid w:val="009C0053"/>
    <w:rsid w:val="009C01C6"/>
    <w:rsid w:val="009C0206"/>
    <w:rsid w:val="009C028F"/>
    <w:rsid w:val="009C02D9"/>
    <w:rsid w:val="009C049B"/>
    <w:rsid w:val="009C05C1"/>
    <w:rsid w:val="009C065B"/>
    <w:rsid w:val="009C07D0"/>
    <w:rsid w:val="009C0D2D"/>
    <w:rsid w:val="009C0E53"/>
    <w:rsid w:val="009C10A1"/>
    <w:rsid w:val="009C1257"/>
    <w:rsid w:val="009C12DC"/>
    <w:rsid w:val="009C165F"/>
    <w:rsid w:val="009C1922"/>
    <w:rsid w:val="009C1960"/>
    <w:rsid w:val="009C1BE9"/>
    <w:rsid w:val="009C1D33"/>
    <w:rsid w:val="009C1D5B"/>
    <w:rsid w:val="009C229F"/>
    <w:rsid w:val="009C2346"/>
    <w:rsid w:val="009C2354"/>
    <w:rsid w:val="009C23F7"/>
    <w:rsid w:val="009C2BC2"/>
    <w:rsid w:val="009C2D90"/>
    <w:rsid w:val="009C2F88"/>
    <w:rsid w:val="009C2F89"/>
    <w:rsid w:val="009C34C4"/>
    <w:rsid w:val="009C36BE"/>
    <w:rsid w:val="009C38E0"/>
    <w:rsid w:val="009C3A63"/>
    <w:rsid w:val="009C3B1D"/>
    <w:rsid w:val="009C3DFE"/>
    <w:rsid w:val="009C3E47"/>
    <w:rsid w:val="009C3EC3"/>
    <w:rsid w:val="009C3F5C"/>
    <w:rsid w:val="009C411E"/>
    <w:rsid w:val="009C424E"/>
    <w:rsid w:val="009C42B2"/>
    <w:rsid w:val="009C4415"/>
    <w:rsid w:val="009C44CA"/>
    <w:rsid w:val="009C4580"/>
    <w:rsid w:val="009C496E"/>
    <w:rsid w:val="009C49E6"/>
    <w:rsid w:val="009C4A5C"/>
    <w:rsid w:val="009C5031"/>
    <w:rsid w:val="009C503E"/>
    <w:rsid w:val="009C5361"/>
    <w:rsid w:val="009C5377"/>
    <w:rsid w:val="009C53B1"/>
    <w:rsid w:val="009C5496"/>
    <w:rsid w:val="009C5594"/>
    <w:rsid w:val="009C57D3"/>
    <w:rsid w:val="009C5B2B"/>
    <w:rsid w:val="009C5CBA"/>
    <w:rsid w:val="009C5D6E"/>
    <w:rsid w:val="009C5EC0"/>
    <w:rsid w:val="009C5FE4"/>
    <w:rsid w:val="009C602A"/>
    <w:rsid w:val="009C614D"/>
    <w:rsid w:val="009C614F"/>
    <w:rsid w:val="009C6504"/>
    <w:rsid w:val="009C6735"/>
    <w:rsid w:val="009C6A27"/>
    <w:rsid w:val="009C6B69"/>
    <w:rsid w:val="009C7116"/>
    <w:rsid w:val="009C719B"/>
    <w:rsid w:val="009C71CE"/>
    <w:rsid w:val="009C724A"/>
    <w:rsid w:val="009C744E"/>
    <w:rsid w:val="009C78F5"/>
    <w:rsid w:val="009C7A44"/>
    <w:rsid w:val="009C7C7F"/>
    <w:rsid w:val="009C7D38"/>
    <w:rsid w:val="009C7DFB"/>
    <w:rsid w:val="009C7EE7"/>
    <w:rsid w:val="009C7F36"/>
    <w:rsid w:val="009D00F7"/>
    <w:rsid w:val="009D05F2"/>
    <w:rsid w:val="009D074F"/>
    <w:rsid w:val="009D09B6"/>
    <w:rsid w:val="009D0B70"/>
    <w:rsid w:val="009D0CC2"/>
    <w:rsid w:val="009D0CD2"/>
    <w:rsid w:val="009D0F13"/>
    <w:rsid w:val="009D0F37"/>
    <w:rsid w:val="009D0F7F"/>
    <w:rsid w:val="009D1009"/>
    <w:rsid w:val="009D10ED"/>
    <w:rsid w:val="009D11B8"/>
    <w:rsid w:val="009D11E2"/>
    <w:rsid w:val="009D15E2"/>
    <w:rsid w:val="009D16BE"/>
    <w:rsid w:val="009D174F"/>
    <w:rsid w:val="009D1810"/>
    <w:rsid w:val="009D195B"/>
    <w:rsid w:val="009D1A5D"/>
    <w:rsid w:val="009D1A92"/>
    <w:rsid w:val="009D1D4A"/>
    <w:rsid w:val="009D1ED4"/>
    <w:rsid w:val="009D22C0"/>
    <w:rsid w:val="009D2329"/>
    <w:rsid w:val="009D2440"/>
    <w:rsid w:val="009D2482"/>
    <w:rsid w:val="009D259B"/>
    <w:rsid w:val="009D2A66"/>
    <w:rsid w:val="009D2B46"/>
    <w:rsid w:val="009D2BB7"/>
    <w:rsid w:val="009D2D61"/>
    <w:rsid w:val="009D2E4A"/>
    <w:rsid w:val="009D2F05"/>
    <w:rsid w:val="009D35BF"/>
    <w:rsid w:val="009D3608"/>
    <w:rsid w:val="009D3B70"/>
    <w:rsid w:val="009D3B7D"/>
    <w:rsid w:val="009D3BB4"/>
    <w:rsid w:val="009D3C02"/>
    <w:rsid w:val="009D3CE6"/>
    <w:rsid w:val="009D3DC7"/>
    <w:rsid w:val="009D3F52"/>
    <w:rsid w:val="009D4028"/>
    <w:rsid w:val="009D4080"/>
    <w:rsid w:val="009D40AC"/>
    <w:rsid w:val="009D4144"/>
    <w:rsid w:val="009D4186"/>
    <w:rsid w:val="009D4271"/>
    <w:rsid w:val="009D43F2"/>
    <w:rsid w:val="009D444E"/>
    <w:rsid w:val="009D4476"/>
    <w:rsid w:val="009D45A5"/>
    <w:rsid w:val="009D46DD"/>
    <w:rsid w:val="009D471A"/>
    <w:rsid w:val="009D4A96"/>
    <w:rsid w:val="009D4B5C"/>
    <w:rsid w:val="009D4BF3"/>
    <w:rsid w:val="009D4DA2"/>
    <w:rsid w:val="009D4E23"/>
    <w:rsid w:val="009D5176"/>
    <w:rsid w:val="009D51BD"/>
    <w:rsid w:val="009D52C2"/>
    <w:rsid w:val="009D588D"/>
    <w:rsid w:val="009D5FFD"/>
    <w:rsid w:val="009D6432"/>
    <w:rsid w:val="009D6491"/>
    <w:rsid w:val="009D649B"/>
    <w:rsid w:val="009D6537"/>
    <w:rsid w:val="009D65B7"/>
    <w:rsid w:val="009D6673"/>
    <w:rsid w:val="009D676E"/>
    <w:rsid w:val="009D69A1"/>
    <w:rsid w:val="009D6B29"/>
    <w:rsid w:val="009D6EA2"/>
    <w:rsid w:val="009D7096"/>
    <w:rsid w:val="009D72AC"/>
    <w:rsid w:val="009D72CA"/>
    <w:rsid w:val="009D7383"/>
    <w:rsid w:val="009D74C8"/>
    <w:rsid w:val="009D74FE"/>
    <w:rsid w:val="009D75B8"/>
    <w:rsid w:val="009D761B"/>
    <w:rsid w:val="009D77EF"/>
    <w:rsid w:val="009D780C"/>
    <w:rsid w:val="009D7954"/>
    <w:rsid w:val="009D7978"/>
    <w:rsid w:val="009D7A23"/>
    <w:rsid w:val="009D7ADB"/>
    <w:rsid w:val="009D7AF3"/>
    <w:rsid w:val="009D7CE6"/>
    <w:rsid w:val="009D7E7A"/>
    <w:rsid w:val="009E0112"/>
    <w:rsid w:val="009E0531"/>
    <w:rsid w:val="009E0537"/>
    <w:rsid w:val="009E06B5"/>
    <w:rsid w:val="009E08AB"/>
    <w:rsid w:val="009E08E6"/>
    <w:rsid w:val="009E08FE"/>
    <w:rsid w:val="009E100D"/>
    <w:rsid w:val="009E105D"/>
    <w:rsid w:val="009E119E"/>
    <w:rsid w:val="009E11DD"/>
    <w:rsid w:val="009E14D3"/>
    <w:rsid w:val="009E1565"/>
    <w:rsid w:val="009E1885"/>
    <w:rsid w:val="009E1905"/>
    <w:rsid w:val="009E1CC7"/>
    <w:rsid w:val="009E1F12"/>
    <w:rsid w:val="009E2071"/>
    <w:rsid w:val="009E23AA"/>
    <w:rsid w:val="009E24E0"/>
    <w:rsid w:val="009E2853"/>
    <w:rsid w:val="009E28A9"/>
    <w:rsid w:val="009E29F3"/>
    <w:rsid w:val="009E2BEA"/>
    <w:rsid w:val="009E307F"/>
    <w:rsid w:val="009E321F"/>
    <w:rsid w:val="009E337C"/>
    <w:rsid w:val="009E3A59"/>
    <w:rsid w:val="009E3B13"/>
    <w:rsid w:val="009E3C2C"/>
    <w:rsid w:val="009E3C44"/>
    <w:rsid w:val="009E3FA4"/>
    <w:rsid w:val="009E409E"/>
    <w:rsid w:val="009E435D"/>
    <w:rsid w:val="009E479B"/>
    <w:rsid w:val="009E490F"/>
    <w:rsid w:val="009E49ED"/>
    <w:rsid w:val="009E4B89"/>
    <w:rsid w:val="009E4EEC"/>
    <w:rsid w:val="009E5240"/>
    <w:rsid w:val="009E5567"/>
    <w:rsid w:val="009E5743"/>
    <w:rsid w:val="009E58CB"/>
    <w:rsid w:val="009E59CF"/>
    <w:rsid w:val="009E59E0"/>
    <w:rsid w:val="009E59EE"/>
    <w:rsid w:val="009E5A4B"/>
    <w:rsid w:val="009E5CFD"/>
    <w:rsid w:val="009E5D9D"/>
    <w:rsid w:val="009E61E5"/>
    <w:rsid w:val="009E63D7"/>
    <w:rsid w:val="009E646C"/>
    <w:rsid w:val="009E6874"/>
    <w:rsid w:val="009E687E"/>
    <w:rsid w:val="009E6A03"/>
    <w:rsid w:val="009E6A52"/>
    <w:rsid w:val="009E6AE7"/>
    <w:rsid w:val="009E6C2B"/>
    <w:rsid w:val="009E7112"/>
    <w:rsid w:val="009E7146"/>
    <w:rsid w:val="009E73F8"/>
    <w:rsid w:val="009E7453"/>
    <w:rsid w:val="009E75D9"/>
    <w:rsid w:val="009E7688"/>
    <w:rsid w:val="009E771A"/>
    <w:rsid w:val="009F002E"/>
    <w:rsid w:val="009F0038"/>
    <w:rsid w:val="009F0075"/>
    <w:rsid w:val="009F0506"/>
    <w:rsid w:val="009F0569"/>
    <w:rsid w:val="009F07D6"/>
    <w:rsid w:val="009F0AEF"/>
    <w:rsid w:val="009F0B66"/>
    <w:rsid w:val="009F0BEF"/>
    <w:rsid w:val="009F0BF9"/>
    <w:rsid w:val="009F0C93"/>
    <w:rsid w:val="009F0DB5"/>
    <w:rsid w:val="009F102F"/>
    <w:rsid w:val="009F1324"/>
    <w:rsid w:val="009F15C4"/>
    <w:rsid w:val="009F167E"/>
    <w:rsid w:val="009F1767"/>
    <w:rsid w:val="009F1905"/>
    <w:rsid w:val="009F19C6"/>
    <w:rsid w:val="009F1AAE"/>
    <w:rsid w:val="009F1AE7"/>
    <w:rsid w:val="009F1BAE"/>
    <w:rsid w:val="009F1CB4"/>
    <w:rsid w:val="009F1D31"/>
    <w:rsid w:val="009F1DD9"/>
    <w:rsid w:val="009F1E06"/>
    <w:rsid w:val="009F204E"/>
    <w:rsid w:val="009F2202"/>
    <w:rsid w:val="009F254E"/>
    <w:rsid w:val="009F2660"/>
    <w:rsid w:val="009F2671"/>
    <w:rsid w:val="009F27B6"/>
    <w:rsid w:val="009F2819"/>
    <w:rsid w:val="009F28ED"/>
    <w:rsid w:val="009F299B"/>
    <w:rsid w:val="009F2B02"/>
    <w:rsid w:val="009F2C23"/>
    <w:rsid w:val="009F2DF2"/>
    <w:rsid w:val="009F31F9"/>
    <w:rsid w:val="009F33F8"/>
    <w:rsid w:val="009F3604"/>
    <w:rsid w:val="009F364F"/>
    <w:rsid w:val="009F36FC"/>
    <w:rsid w:val="009F36FE"/>
    <w:rsid w:val="009F3748"/>
    <w:rsid w:val="009F3848"/>
    <w:rsid w:val="009F3919"/>
    <w:rsid w:val="009F3A0E"/>
    <w:rsid w:val="009F3A97"/>
    <w:rsid w:val="009F3DB4"/>
    <w:rsid w:val="009F3F7F"/>
    <w:rsid w:val="009F41F2"/>
    <w:rsid w:val="009F41FC"/>
    <w:rsid w:val="009F420D"/>
    <w:rsid w:val="009F4323"/>
    <w:rsid w:val="009F4329"/>
    <w:rsid w:val="009F46EF"/>
    <w:rsid w:val="009F47A3"/>
    <w:rsid w:val="009F48CB"/>
    <w:rsid w:val="009F4A8F"/>
    <w:rsid w:val="009F4D08"/>
    <w:rsid w:val="009F4D25"/>
    <w:rsid w:val="009F4F67"/>
    <w:rsid w:val="009F4F8D"/>
    <w:rsid w:val="009F4FB6"/>
    <w:rsid w:val="009F537B"/>
    <w:rsid w:val="009F5488"/>
    <w:rsid w:val="009F548C"/>
    <w:rsid w:val="009F5AE4"/>
    <w:rsid w:val="009F5B70"/>
    <w:rsid w:val="009F5EF7"/>
    <w:rsid w:val="009F6028"/>
    <w:rsid w:val="009F60D5"/>
    <w:rsid w:val="009F61E2"/>
    <w:rsid w:val="009F6440"/>
    <w:rsid w:val="009F6805"/>
    <w:rsid w:val="009F684A"/>
    <w:rsid w:val="009F6B3A"/>
    <w:rsid w:val="009F6BE0"/>
    <w:rsid w:val="009F6DBA"/>
    <w:rsid w:val="009F6E9C"/>
    <w:rsid w:val="009F7207"/>
    <w:rsid w:val="009F73E5"/>
    <w:rsid w:val="009F7556"/>
    <w:rsid w:val="009F77C8"/>
    <w:rsid w:val="009F77EA"/>
    <w:rsid w:val="009F7863"/>
    <w:rsid w:val="009F78A3"/>
    <w:rsid w:val="009F79A8"/>
    <w:rsid w:val="009F7A66"/>
    <w:rsid w:val="009F7A96"/>
    <w:rsid w:val="009F7D58"/>
    <w:rsid w:val="00A000BC"/>
    <w:rsid w:val="00A0010E"/>
    <w:rsid w:val="00A00240"/>
    <w:rsid w:val="00A002C7"/>
    <w:rsid w:val="00A00434"/>
    <w:rsid w:val="00A004ED"/>
    <w:rsid w:val="00A00523"/>
    <w:rsid w:val="00A0058A"/>
    <w:rsid w:val="00A005AD"/>
    <w:rsid w:val="00A00755"/>
    <w:rsid w:val="00A00905"/>
    <w:rsid w:val="00A009B9"/>
    <w:rsid w:val="00A00A9A"/>
    <w:rsid w:val="00A00B8F"/>
    <w:rsid w:val="00A01376"/>
    <w:rsid w:val="00A0139D"/>
    <w:rsid w:val="00A013A2"/>
    <w:rsid w:val="00A01616"/>
    <w:rsid w:val="00A0169F"/>
    <w:rsid w:val="00A01845"/>
    <w:rsid w:val="00A01A28"/>
    <w:rsid w:val="00A01ADE"/>
    <w:rsid w:val="00A01BB9"/>
    <w:rsid w:val="00A01BCE"/>
    <w:rsid w:val="00A01D2E"/>
    <w:rsid w:val="00A01EC5"/>
    <w:rsid w:val="00A01F39"/>
    <w:rsid w:val="00A01F3D"/>
    <w:rsid w:val="00A02548"/>
    <w:rsid w:val="00A0274E"/>
    <w:rsid w:val="00A02755"/>
    <w:rsid w:val="00A0281D"/>
    <w:rsid w:val="00A02C78"/>
    <w:rsid w:val="00A02D6B"/>
    <w:rsid w:val="00A02E8F"/>
    <w:rsid w:val="00A03175"/>
    <w:rsid w:val="00A0329A"/>
    <w:rsid w:val="00A03526"/>
    <w:rsid w:val="00A037BC"/>
    <w:rsid w:val="00A03BC3"/>
    <w:rsid w:val="00A03CC4"/>
    <w:rsid w:val="00A03D3F"/>
    <w:rsid w:val="00A03DD1"/>
    <w:rsid w:val="00A03F48"/>
    <w:rsid w:val="00A03FEB"/>
    <w:rsid w:val="00A040BF"/>
    <w:rsid w:val="00A04269"/>
    <w:rsid w:val="00A04345"/>
    <w:rsid w:val="00A04405"/>
    <w:rsid w:val="00A048AF"/>
    <w:rsid w:val="00A049D4"/>
    <w:rsid w:val="00A04A13"/>
    <w:rsid w:val="00A04AA0"/>
    <w:rsid w:val="00A04B09"/>
    <w:rsid w:val="00A04D65"/>
    <w:rsid w:val="00A04E15"/>
    <w:rsid w:val="00A04E7C"/>
    <w:rsid w:val="00A054BC"/>
    <w:rsid w:val="00A05558"/>
    <w:rsid w:val="00A05668"/>
    <w:rsid w:val="00A057D8"/>
    <w:rsid w:val="00A0583B"/>
    <w:rsid w:val="00A058FC"/>
    <w:rsid w:val="00A05909"/>
    <w:rsid w:val="00A0594E"/>
    <w:rsid w:val="00A05B9D"/>
    <w:rsid w:val="00A05C7B"/>
    <w:rsid w:val="00A05E8C"/>
    <w:rsid w:val="00A05F43"/>
    <w:rsid w:val="00A05F8D"/>
    <w:rsid w:val="00A062EC"/>
    <w:rsid w:val="00A06407"/>
    <w:rsid w:val="00A06427"/>
    <w:rsid w:val="00A068B7"/>
    <w:rsid w:val="00A06C53"/>
    <w:rsid w:val="00A06CAA"/>
    <w:rsid w:val="00A06CCB"/>
    <w:rsid w:val="00A0732A"/>
    <w:rsid w:val="00A07391"/>
    <w:rsid w:val="00A075B2"/>
    <w:rsid w:val="00A0776F"/>
    <w:rsid w:val="00A077C1"/>
    <w:rsid w:val="00A07A7A"/>
    <w:rsid w:val="00A07B9E"/>
    <w:rsid w:val="00A07DDB"/>
    <w:rsid w:val="00A07E93"/>
    <w:rsid w:val="00A07F20"/>
    <w:rsid w:val="00A101CA"/>
    <w:rsid w:val="00A10231"/>
    <w:rsid w:val="00A10360"/>
    <w:rsid w:val="00A10415"/>
    <w:rsid w:val="00A105C9"/>
    <w:rsid w:val="00A107EB"/>
    <w:rsid w:val="00A10859"/>
    <w:rsid w:val="00A1088C"/>
    <w:rsid w:val="00A108C2"/>
    <w:rsid w:val="00A1090B"/>
    <w:rsid w:val="00A109CA"/>
    <w:rsid w:val="00A10B77"/>
    <w:rsid w:val="00A10C49"/>
    <w:rsid w:val="00A10DC7"/>
    <w:rsid w:val="00A11017"/>
    <w:rsid w:val="00A11072"/>
    <w:rsid w:val="00A11292"/>
    <w:rsid w:val="00A113CB"/>
    <w:rsid w:val="00A1143C"/>
    <w:rsid w:val="00A1151D"/>
    <w:rsid w:val="00A11572"/>
    <w:rsid w:val="00A115AF"/>
    <w:rsid w:val="00A11790"/>
    <w:rsid w:val="00A1183E"/>
    <w:rsid w:val="00A1194F"/>
    <w:rsid w:val="00A11C15"/>
    <w:rsid w:val="00A11DDC"/>
    <w:rsid w:val="00A12198"/>
    <w:rsid w:val="00A1229E"/>
    <w:rsid w:val="00A123C2"/>
    <w:rsid w:val="00A123D1"/>
    <w:rsid w:val="00A12B9A"/>
    <w:rsid w:val="00A12E48"/>
    <w:rsid w:val="00A12F45"/>
    <w:rsid w:val="00A13094"/>
    <w:rsid w:val="00A1309F"/>
    <w:rsid w:val="00A130D3"/>
    <w:rsid w:val="00A13168"/>
    <w:rsid w:val="00A13322"/>
    <w:rsid w:val="00A133CC"/>
    <w:rsid w:val="00A133D4"/>
    <w:rsid w:val="00A136BE"/>
    <w:rsid w:val="00A137E0"/>
    <w:rsid w:val="00A13891"/>
    <w:rsid w:val="00A13DC8"/>
    <w:rsid w:val="00A13DE2"/>
    <w:rsid w:val="00A140EF"/>
    <w:rsid w:val="00A14219"/>
    <w:rsid w:val="00A14287"/>
    <w:rsid w:val="00A14633"/>
    <w:rsid w:val="00A1472A"/>
    <w:rsid w:val="00A14830"/>
    <w:rsid w:val="00A14922"/>
    <w:rsid w:val="00A14AF9"/>
    <w:rsid w:val="00A14BA0"/>
    <w:rsid w:val="00A14C98"/>
    <w:rsid w:val="00A15054"/>
    <w:rsid w:val="00A152AB"/>
    <w:rsid w:val="00A15304"/>
    <w:rsid w:val="00A15576"/>
    <w:rsid w:val="00A1582E"/>
    <w:rsid w:val="00A15886"/>
    <w:rsid w:val="00A15A60"/>
    <w:rsid w:val="00A15B5B"/>
    <w:rsid w:val="00A15FA4"/>
    <w:rsid w:val="00A15FF4"/>
    <w:rsid w:val="00A16103"/>
    <w:rsid w:val="00A16437"/>
    <w:rsid w:val="00A1660A"/>
    <w:rsid w:val="00A166A4"/>
    <w:rsid w:val="00A168B2"/>
    <w:rsid w:val="00A16940"/>
    <w:rsid w:val="00A16A18"/>
    <w:rsid w:val="00A16BD0"/>
    <w:rsid w:val="00A16C80"/>
    <w:rsid w:val="00A16CE2"/>
    <w:rsid w:val="00A16D73"/>
    <w:rsid w:val="00A16E1E"/>
    <w:rsid w:val="00A16E5D"/>
    <w:rsid w:val="00A16ECA"/>
    <w:rsid w:val="00A1708E"/>
    <w:rsid w:val="00A17153"/>
    <w:rsid w:val="00A171FF"/>
    <w:rsid w:val="00A176FD"/>
    <w:rsid w:val="00A178B8"/>
    <w:rsid w:val="00A178E6"/>
    <w:rsid w:val="00A17966"/>
    <w:rsid w:val="00A17B0A"/>
    <w:rsid w:val="00A17BB2"/>
    <w:rsid w:val="00A17D20"/>
    <w:rsid w:val="00A17FD2"/>
    <w:rsid w:val="00A17FEB"/>
    <w:rsid w:val="00A2009F"/>
    <w:rsid w:val="00A20696"/>
    <w:rsid w:val="00A20715"/>
    <w:rsid w:val="00A20A99"/>
    <w:rsid w:val="00A20D91"/>
    <w:rsid w:val="00A20F11"/>
    <w:rsid w:val="00A211C3"/>
    <w:rsid w:val="00A21486"/>
    <w:rsid w:val="00A2179D"/>
    <w:rsid w:val="00A21D04"/>
    <w:rsid w:val="00A21D2F"/>
    <w:rsid w:val="00A21DEF"/>
    <w:rsid w:val="00A21E47"/>
    <w:rsid w:val="00A21E69"/>
    <w:rsid w:val="00A21EDE"/>
    <w:rsid w:val="00A21FF0"/>
    <w:rsid w:val="00A221F4"/>
    <w:rsid w:val="00A22202"/>
    <w:rsid w:val="00A22273"/>
    <w:rsid w:val="00A2266D"/>
    <w:rsid w:val="00A226A2"/>
    <w:rsid w:val="00A229FA"/>
    <w:rsid w:val="00A22BE7"/>
    <w:rsid w:val="00A22C31"/>
    <w:rsid w:val="00A22EF8"/>
    <w:rsid w:val="00A2324A"/>
    <w:rsid w:val="00A23454"/>
    <w:rsid w:val="00A234B4"/>
    <w:rsid w:val="00A23573"/>
    <w:rsid w:val="00A23822"/>
    <w:rsid w:val="00A23AB0"/>
    <w:rsid w:val="00A23B7E"/>
    <w:rsid w:val="00A23B8A"/>
    <w:rsid w:val="00A23BF6"/>
    <w:rsid w:val="00A23CB1"/>
    <w:rsid w:val="00A23D33"/>
    <w:rsid w:val="00A23E81"/>
    <w:rsid w:val="00A242A3"/>
    <w:rsid w:val="00A24395"/>
    <w:rsid w:val="00A24555"/>
    <w:rsid w:val="00A2491C"/>
    <w:rsid w:val="00A24C31"/>
    <w:rsid w:val="00A24DB2"/>
    <w:rsid w:val="00A24E53"/>
    <w:rsid w:val="00A250D0"/>
    <w:rsid w:val="00A2518D"/>
    <w:rsid w:val="00A251E0"/>
    <w:rsid w:val="00A25216"/>
    <w:rsid w:val="00A252A9"/>
    <w:rsid w:val="00A258B0"/>
    <w:rsid w:val="00A258EB"/>
    <w:rsid w:val="00A259B8"/>
    <w:rsid w:val="00A25B62"/>
    <w:rsid w:val="00A2633F"/>
    <w:rsid w:val="00A2637F"/>
    <w:rsid w:val="00A26924"/>
    <w:rsid w:val="00A26B0C"/>
    <w:rsid w:val="00A26B1D"/>
    <w:rsid w:val="00A271A9"/>
    <w:rsid w:val="00A2757D"/>
    <w:rsid w:val="00A2771B"/>
    <w:rsid w:val="00A279F6"/>
    <w:rsid w:val="00A27AA4"/>
    <w:rsid w:val="00A27B4F"/>
    <w:rsid w:val="00A27C60"/>
    <w:rsid w:val="00A27D00"/>
    <w:rsid w:val="00A27D74"/>
    <w:rsid w:val="00A303BF"/>
    <w:rsid w:val="00A30664"/>
    <w:rsid w:val="00A30C48"/>
    <w:rsid w:val="00A31279"/>
    <w:rsid w:val="00A312A0"/>
    <w:rsid w:val="00A315CC"/>
    <w:rsid w:val="00A315EF"/>
    <w:rsid w:val="00A31878"/>
    <w:rsid w:val="00A31B32"/>
    <w:rsid w:val="00A31C1E"/>
    <w:rsid w:val="00A31CCB"/>
    <w:rsid w:val="00A31CD1"/>
    <w:rsid w:val="00A31DA0"/>
    <w:rsid w:val="00A31EC2"/>
    <w:rsid w:val="00A32198"/>
    <w:rsid w:val="00A3225F"/>
    <w:rsid w:val="00A323D0"/>
    <w:rsid w:val="00A325AA"/>
    <w:rsid w:val="00A32746"/>
    <w:rsid w:val="00A32BD9"/>
    <w:rsid w:val="00A32DFA"/>
    <w:rsid w:val="00A32E27"/>
    <w:rsid w:val="00A33058"/>
    <w:rsid w:val="00A332CA"/>
    <w:rsid w:val="00A333E7"/>
    <w:rsid w:val="00A33C61"/>
    <w:rsid w:val="00A33E68"/>
    <w:rsid w:val="00A33F4D"/>
    <w:rsid w:val="00A341EF"/>
    <w:rsid w:val="00A3424F"/>
    <w:rsid w:val="00A34494"/>
    <w:rsid w:val="00A3478B"/>
    <w:rsid w:val="00A349EC"/>
    <w:rsid w:val="00A34BE1"/>
    <w:rsid w:val="00A34F48"/>
    <w:rsid w:val="00A34F4A"/>
    <w:rsid w:val="00A355BA"/>
    <w:rsid w:val="00A35912"/>
    <w:rsid w:val="00A35A8E"/>
    <w:rsid w:val="00A35B96"/>
    <w:rsid w:val="00A35F0A"/>
    <w:rsid w:val="00A360CE"/>
    <w:rsid w:val="00A3614A"/>
    <w:rsid w:val="00A3619C"/>
    <w:rsid w:val="00A36380"/>
    <w:rsid w:val="00A3652E"/>
    <w:rsid w:val="00A36716"/>
    <w:rsid w:val="00A36790"/>
    <w:rsid w:val="00A36D2F"/>
    <w:rsid w:val="00A36FE3"/>
    <w:rsid w:val="00A36FE8"/>
    <w:rsid w:val="00A37085"/>
    <w:rsid w:val="00A37164"/>
    <w:rsid w:val="00A3723B"/>
    <w:rsid w:val="00A37C01"/>
    <w:rsid w:val="00A37CBC"/>
    <w:rsid w:val="00A37D24"/>
    <w:rsid w:val="00A400F8"/>
    <w:rsid w:val="00A40299"/>
    <w:rsid w:val="00A402E2"/>
    <w:rsid w:val="00A4041C"/>
    <w:rsid w:val="00A40494"/>
    <w:rsid w:val="00A40541"/>
    <w:rsid w:val="00A40660"/>
    <w:rsid w:val="00A407AF"/>
    <w:rsid w:val="00A408B7"/>
    <w:rsid w:val="00A409B0"/>
    <w:rsid w:val="00A40B1F"/>
    <w:rsid w:val="00A40B75"/>
    <w:rsid w:val="00A410BD"/>
    <w:rsid w:val="00A4145F"/>
    <w:rsid w:val="00A4149F"/>
    <w:rsid w:val="00A414C5"/>
    <w:rsid w:val="00A41614"/>
    <w:rsid w:val="00A4161E"/>
    <w:rsid w:val="00A41669"/>
    <w:rsid w:val="00A41C44"/>
    <w:rsid w:val="00A41D38"/>
    <w:rsid w:val="00A41F5F"/>
    <w:rsid w:val="00A41FC1"/>
    <w:rsid w:val="00A41FF6"/>
    <w:rsid w:val="00A42024"/>
    <w:rsid w:val="00A42277"/>
    <w:rsid w:val="00A42371"/>
    <w:rsid w:val="00A42425"/>
    <w:rsid w:val="00A42610"/>
    <w:rsid w:val="00A429E1"/>
    <w:rsid w:val="00A42A2F"/>
    <w:rsid w:val="00A430C8"/>
    <w:rsid w:val="00A4335F"/>
    <w:rsid w:val="00A43573"/>
    <w:rsid w:val="00A4373F"/>
    <w:rsid w:val="00A43789"/>
    <w:rsid w:val="00A4390A"/>
    <w:rsid w:val="00A439DB"/>
    <w:rsid w:val="00A43A42"/>
    <w:rsid w:val="00A43B4B"/>
    <w:rsid w:val="00A43D34"/>
    <w:rsid w:val="00A43DCB"/>
    <w:rsid w:val="00A43ECF"/>
    <w:rsid w:val="00A43FA7"/>
    <w:rsid w:val="00A440A8"/>
    <w:rsid w:val="00A4429F"/>
    <w:rsid w:val="00A44381"/>
    <w:rsid w:val="00A443F8"/>
    <w:rsid w:val="00A4447D"/>
    <w:rsid w:val="00A444BE"/>
    <w:rsid w:val="00A444D4"/>
    <w:rsid w:val="00A4453F"/>
    <w:rsid w:val="00A446C9"/>
    <w:rsid w:val="00A44772"/>
    <w:rsid w:val="00A4497D"/>
    <w:rsid w:val="00A44D8E"/>
    <w:rsid w:val="00A44EBE"/>
    <w:rsid w:val="00A44F12"/>
    <w:rsid w:val="00A4535A"/>
    <w:rsid w:val="00A45469"/>
    <w:rsid w:val="00A454D7"/>
    <w:rsid w:val="00A45518"/>
    <w:rsid w:val="00A457D8"/>
    <w:rsid w:val="00A45954"/>
    <w:rsid w:val="00A459CE"/>
    <w:rsid w:val="00A45A78"/>
    <w:rsid w:val="00A45C4F"/>
    <w:rsid w:val="00A45C96"/>
    <w:rsid w:val="00A45D28"/>
    <w:rsid w:val="00A45D43"/>
    <w:rsid w:val="00A45DF4"/>
    <w:rsid w:val="00A45F39"/>
    <w:rsid w:val="00A45FAD"/>
    <w:rsid w:val="00A463FF"/>
    <w:rsid w:val="00A46C43"/>
    <w:rsid w:val="00A46D0B"/>
    <w:rsid w:val="00A46D84"/>
    <w:rsid w:val="00A46E83"/>
    <w:rsid w:val="00A46FFF"/>
    <w:rsid w:val="00A47086"/>
    <w:rsid w:val="00A47142"/>
    <w:rsid w:val="00A4733B"/>
    <w:rsid w:val="00A475E0"/>
    <w:rsid w:val="00A477A3"/>
    <w:rsid w:val="00A47825"/>
    <w:rsid w:val="00A478A6"/>
    <w:rsid w:val="00A47A25"/>
    <w:rsid w:val="00A47AA9"/>
    <w:rsid w:val="00A47CF3"/>
    <w:rsid w:val="00A47E21"/>
    <w:rsid w:val="00A47F0F"/>
    <w:rsid w:val="00A50101"/>
    <w:rsid w:val="00A5022E"/>
    <w:rsid w:val="00A50386"/>
    <w:rsid w:val="00A5038B"/>
    <w:rsid w:val="00A503A5"/>
    <w:rsid w:val="00A503F8"/>
    <w:rsid w:val="00A504D4"/>
    <w:rsid w:val="00A50586"/>
    <w:rsid w:val="00A5096E"/>
    <w:rsid w:val="00A509EB"/>
    <w:rsid w:val="00A50DF4"/>
    <w:rsid w:val="00A50E0B"/>
    <w:rsid w:val="00A50F24"/>
    <w:rsid w:val="00A511B6"/>
    <w:rsid w:val="00A511C3"/>
    <w:rsid w:val="00A51250"/>
    <w:rsid w:val="00A5128A"/>
    <w:rsid w:val="00A5141A"/>
    <w:rsid w:val="00A515F2"/>
    <w:rsid w:val="00A51630"/>
    <w:rsid w:val="00A51737"/>
    <w:rsid w:val="00A518B4"/>
    <w:rsid w:val="00A51957"/>
    <w:rsid w:val="00A51B4D"/>
    <w:rsid w:val="00A520C6"/>
    <w:rsid w:val="00A52249"/>
    <w:rsid w:val="00A52329"/>
    <w:rsid w:val="00A523A9"/>
    <w:rsid w:val="00A52411"/>
    <w:rsid w:val="00A52944"/>
    <w:rsid w:val="00A52AC3"/>
    <w:rsid w:val="00A52DCB"/>
    <w:rsid w:val="00A52DEE"/>
    <w:rsid w:val="00A52EDE"/>
    <w:rsid w:val="00A53051"/>
    <w:rsid w:val="00A530B2"/>
    <w:rsid w:val="00A532C0"/>
    <w:rsid w:val="00A53699"/>
    <w:rsid w:val="00A5374C"/>
    <w:rsid w:val="00A53902"/>
    <w:rsid w:val="00A5393A"/>
    <w:rsid w:val="00A539F3"/>
    <w:rsid w:val="00A53D5E"/>
    <w:rsid w:val="00A53F3B"/>
    <w:rsid w:val="00A53FCA"/>
    <w:rsid w:val="00A542EE"/>
    <w:rsid w:val="00A54546"/>
    <w:rsid w:val="00A548C2"/>
    <w:rsid w:val="00A5498C"/>
    <w:rsid w:val="00A54BAA"/>
    <w:rsid w:val="00A55036"/>
    <w:rsid w:val="00A5513F"/>
    <w:rsid w:val="00A5528E"/>
    <w:rsid w:val="00A55367"/>
    <w:rsid w:val="00A55466"/>
    <w:rsid w:val="00A5549E"/>
    <w:rsid w:val="00A5554C"/>
    <w:rsid w:val="00A55A7D"/>
    <w:rsid w:val="00A55B6F"/>
    <w:rsid w:val="00A56050"/>
    <w:rsid w:val="00A56226"/>
    <w:rsid w:val="00A5632E"/>
    <w:rsid w:val="00A56611"/>
    <w:rsid w:val="00A568B0"/>
    <w:rsid w:val="00A569F2"/>
    <w:rsid w:val="00A56B9A"/>
    <w:rsid w:val="00A56DF8"/>
    <w:rsid w:val="00A56E35"/>
    <w:rsid w:val="00A56F25"/>
    <w:rsid w:val="00A57023"/>
    <w:rsid w:val="00A573BE"/>
    <w:rsid w:val="00A577A2"/>
    <w:rsid w:val="00A578CC"/>
    <w:rsid w:val="00A57C55"/>
    <w:rsid w:val="00A57E4C"/>
    <w:rsid w:val="00A57EFA"/>
    <w:rsid w:val="00A57F8E"/>
    <w:rsid w:val="00A60108"/>
    <w:rsid w:val="00A60326"/>
    <w:rsid w:val="00A60994"/>
    <w:rsid w:val="00A60AA1"/>
    <w:rsid w:val="00A60BF2"/>
    <w:rsid w:val="00A60CCF"/>
    <w:rsid w:val="00A60D66"/>
    <w:rsid w:val="00A60F37"/>
    <w:rsid w:val="00A61082"/>
    <w:rsid w:val="00A61161"/>
    <w:rsid w:val="00A6127D"/>
    <w:rsid w:val="00A613FB"/>
    <w:rsid w:val="00A61581"/>
    <w:rsid w:val="00A61B81"/>
    <w:rsid w:val="00A61E14"/>
    <w:rsid w:val="00A6207C"/>
    <w:rsid w:val="00A6216E"/>
    <w:rsid w:val="00A623B3"/>
    <w:rsid w:val="00A624EB"/>
    <w:rsid w:val="00A62852"/>
    <w:rsid w:val="00A62957"/>
    <w:rsid w:val="00A62B44"/>
    <w:rsid w:val="00A62B51"/>
    <w:rsid w:val="00A62C63"/>
    <w:rsid w:val="00A62DEB"/>
    <w:rsid w:val="00A62DF0"/>
    <w:rsid w:val="00A62EB2"/>
    <w:rsid w:val="00A62F60"/>
    <w:rsid w:val="00A62FCE"/>
    <w:rsid w:val="00A6319B"/>
    <w:rsid w:val="00A631F4"/>
    <w:rsid w:val="00A6323D"/>
    <w:rsid w:val="00A63324"/>
    <w:rsid w:val="00A6333A"/>
    <w:rsid w:val="00A633C6"/>
    <w:rsid w:val="00A6369B"/>
    <w:rsid w:val="00A63793"/>
    <w:rsid w:val="00A63B2F"/>
    <w:rsid w:val="00A63B34"/>
    <w:rsid w:val="00A63E80"/>
    <w:rsid w:val="00A63F0E"/>
    <w:rsid w:val="00A640F8"/>
    <w:rsid w:val="00A64139"/>
    <w:rsid w:val="00A6425A"/>
    <w:rsid w:val="00A6449F"/>
    <w:rsid w:val="00A6451D"/>
    <w:rsid w:val="00A64670"/>
    <w:rsid w:val="00A647FB"/>
    <w:rsid w:val="00A64F1C"/>
    <w:rsid w:val="00A6503D"/>
    <w:rsid w:val="00A650A7"/>
    <w:rsid w:val="00A650DE"/>
    <w:rsid w:val="00A65127"/>
    <w:rsid w:val="00A651DC"/>
    <w:rsid w:val="00A651FA"/>
    <w:rsid w:val="00A653D6"/>
    <w:rsid w:val="00A65541"/>
    <w:rsid w:val="00A6554C"/>
    <w:rsid w:val="00A6596E"/>
    <w:rsid w:val="00A65980"/>
    <w:rsid w:val="00A65A43"/>
    <w:rsid w:val="00A65BC0"/>
    <w:rsid w:val="00A65BEB"/>
    <w:rsid w:val="00A65C63"/>
    <w:rsid w:val="00A65D81"/>
    <w:rsid w:val="00A65EFA"/>
    <w:rsid w:val="00A6600E"/>
    <w:rsid w:val="00A664CC"/>
    <w:rsid w:val="00A6677B"/>
    <w:rsid w:val="00A66B9A"/>
    <w:rsid w:val="00A66D14"/>
    <w:rsid w:val="00A67009"/>
    <w:rsid w:val="00A6705F"/>
    <w:rsid w:val="00A6710F"/>
    <w:rsid w:val="00A67414"/>
    <w:rsid w:val="00A67422"/>
    <w:rsid w:val="00A67482"/>
    <w:rsid w:val="00A6752D"/>
    <w:rsid w:val="00A675D7"/>
    <w:rsid w:val="00A6766E"/>
    <w:rsid w:val="00A67892"/>
    <w:rsid w:val="00A67932"/>
    <w:rsid w:val="00A6796A"/>
    <w:rsid w:val="00A67B37"/>
    <w:rsid w:val="00A67C76"/>
    <w:rsid w:val="00A67CBA"/>
    <w:rsid w:val="00A70121"/>
    <w:rsid w:val="00A70246"/>
    <w:rsid w:val="00A703D5"/>
    <w:rsid w:val="00A70654"/>
    <w:rsid w:val="00A706C0"/>
    <w:rsid w:val="00A706D2"/>
    <w:rsid w:val="00A70985"/>
    <w:rsid w:val="00A70A75"/>
    <w:rsid w:val="00A70B6B"/>
    <w:rsid w:val="00A70BA6"/>
    <w:rsid w:val="00A70C01"/>
    <w:rsid w:val="00A70C53"/>
    <w:rsid w:val="00A70F15"/>
    <w:rsid w:val="00A710A7"/>
    <w:rsid w:val="00A710E6"/>
    <w:rsid w:val="00A7118B"/>
    <w:rsid w:val="00A711D4"/>
    <w:rsid w:val="00A71581"/>
    <w:rsid w:val="00A715F7"/>
    <w:rsid w:val="00A7178C"/>
    <w:rsid w:val="00A7186C"/>
    <w:rsid w:val="00A7186D"/>
    <w:rsid w:val="00A71B79"/>
    <w:rsid w:val="00A71C08"/>
    <w:rsid w:val="00A71C56"/>
    <w:rsid w:val="00A71E24"/>
    <w:rsid w:val="00A71E62"/>
    <w:rsid w:val="00A71FA5"/>
    <w:rsid w:val="00A7212A"/>
    <w:rsid w:val="00A72144"/>
    <w:rsid w:val="00A72191"/>
    <w:rsid w:val="00A721F3"/>
    <w:rsid w:val="00A72330"/>
    <w:rsid w:val="00A724DD"/>
    <w:rsid w:val="00A724E1"/>
    <w:rsid w:val="00A724F7"/>
    <w:rsid w:val="00A724FD"/>
    <w:rsid w:val="00A72515"/>
    <w:rsid w:val="00A72576"/>
    <w:rsid w:val="00A72627"/>
    <w:rsid w:val="00A726EE"/>
    <w:rsid w:val="00A72954"/>
    <w:rsid w:val="00A72D10"/>
    <w:rsid w:val="00A72EB5"/>
    <w:rsid w:val="00A72FEC"/>
    <w:rsid w:val="00A73143"/>
    <w:rsid w:val="00A733D9"/>
    <w:rsid w:val="00A733EE"/>
    <w:rsid w:val="00A73622"/>
    <w:rsid w:val="00A73764"/>
    <w:rsid w:val="00A73944"/>
    <w:rsid w:val="00A739C5"/>
    <w:rsid w:val="00A73AA0"/>
    <w:rsid w:val="00A7407E"/>
    <w:rsid w:val="00A74314"/>
    <w:rsid w:val="00A74406"/>
    <w:rsid w:val="00A744D0"/>
    <w:rsid w:val="00A74606"/>
    <w:rsid w:val="00A748AB"/>
    <w:rsid w:val="00A74C6F"/>
    <w:rsid w:val="00A74DF6"/>
    <w:rsid w:val="00A74E16"/>
    <w:rsid w:val="00A7509D"/>
    <w:rsid w:val="00A75343"/>
    <w:rsid w:val="00A7548A"/>
    <w:rsid w:val="00A756DC"/>
    <w:rsid w:val="00A75745"/>
    <w:rsid w:val="00A75783"/>
    <w:rsid w:val="00A758E8"/>
    <w:rsid w:val="00A75BAD"/>
    <w:rsid w:val="00A75CB5"/>
    <w:rsid w:val="00A75CCA"/>
    <w:rsid w:val="00A75D22"/>
    <w:rsid w:val="00A75D3E"/>
    <w:rsid w:val="00A760FB"/>
    <w:rsid w:val="00A761FE"/>
    <w:rsid w:val="00A76264"/>
    <w:rsid w:val="00A76368"/>
    <w:rsid w:val="00A769D8"/>
    <w:rsid w:val="00A76B08"/>
    <w:rsid w:val="00A76BD8"/>
    <w:rsid w:val="00A76C92"/>
    <w:rsid w:val="00A76D43"/>
    <w:rsid w:val="00A77156"/>
    <w:rsid w:val="00A7716B"/>
    <w:rsid w:val="00A772F7"/>
    <w:rsid w:val="00A7751B"/>
    <w:rsid w:val="00A7778E"/>
    <w:rsid w:val="00A77B6B"/>
    <w:rsid w:val="00A77B88"/>
    <w:rsid w:val="00A77E07"/>
    <w:rsid w:val="00A802EF"/>
    <w:rsid w:val="00A803AA"/>
    <w:rsid w:val="00A8084A"/>
    <w:rsid w:val="00A80AD7"/>
    <w:rsid w:val="00A80DD3"/>
    <w:rsid w:val="00A8110F"/>
    <w:rsid w:val="00A811CE"/>
    <w:rsid w:val="00A8137D"/>
    <w:rsid w:val="00A8149D"/>
    <w:rsid w:val="00A81587"/>
    <w:rsid w:val="00A815CB"/>
    <w:rsid w:val="00A816E5"/>
    <w:rsid w:val="00A81A34"/>
    <w:rsid w:val="00A82078"/>
    <w:rsid w:val="00A82097"/>
    <w:rsid w:val="00A822A0"/>
    <w:rsid w:val="00A823F3"/>
    <w:rsid w:val="00A8244B"/>
    <w:rsid w:val="00A827CF"/>
    <w:rsid w:val="00A82A48"/>
    <w:rsid w:val="00A83024"/>
    <w:rsid w:val="00A83041"/>
    <w:rsid w:val="00A833E8"/>
    <w:rsid w:val="00A83490"/>
    <w:rsid w:val="00A834DE"/>
    <w:rsid w:val="00A836B2"/>
    <w:rsid w:val="00A837DA"/>
    <w:rsid w:val="00A83CF1"/>
    <w:rsid w:val="00A83D04"/>
    <w:rsid w:val="00A8421C"/>
    <w:rsid w:val="00A84545"/>
    <w:rsid w:val="00A84907"/>
    <w:rsid w:val="00A849DB"/>
    <w:rsid w:val="00A84A78"/>
    <w:rsid w:val="00A84AF3"/>
    <w:rsid w:val="00A84E6B"/>
    <w:rsid w:val="00A84F57"/>
    <w:rsid w:val="00A853AD"/>
    <w:rsid w:val="00A853D4"/>
    <w:rsid w:val="00A8545C"/>
    <w:rsid w:val="00A85545"/>
    <w:rsid w:val="00A857D6"/>
    <w:rsid w:val="00A8581D"/>
    <w:rsid w:val="00A85A80"/>
    <w:rsid w:val="00A85B0F"/>
    <w:rsid w:val="00A85ECD"/>
    <w:rsid w:val="00A85F3B"/>
    <w:rsid w:val="00A86190"/>
    <w:rsid w:val="00A861A1"/>
    <w:rsid w:val="00A862D6"/>
    <w:rsid w:val="00A862F9"/>
    <w:rsid w:val="00A8637D"/>
    <w:rsid w:val="00A86431"/>
    <w:rsid w:val="00A867E7"/>
    <w:rsid w:val="00A868F4"/>
    <w:rsid w:val="00A86B8C"/>
    <w:rsid w:val="00A87110"/>
    <w:rsid w:val="00A8723F"/>
    <w:rsid w:val="00A87275"/>
    <w:rsid w:val="00A8745B"/>
    <w:rsid w:val="00A87595"/>
    <w:rsid w:val="00A875C0"/>
    <w:rsid w:val="00A87625"/>
    <w:rsid w:val="00A87B47"/>
    <w:rsid w:val="00A87C8B"/>
    <w:rsid w:val="00A87D98"/>
    <w:rsid w:val="00A87F9A"/>
    <w:rsid w:val="00A90060"/>
    <w:rsid w:val="00A900EE"/>
    <w:rsid w:val="00A9028C"/>
    <w:rsid w:val="00A903CE"/>
    <w:rsid w:val="00A90771"/>
    <w:rsid w:val="00A90865"/>
    <w:rsid w:val="00A9091C"/>
    <w:rsid w:val="00A90CB1"/>
    <w:rsid w:val="00A90EA0"/>
    <w:rsid w:val="00A90F00"/>
    <w:rsid w:val="00A91141"/>
    <w:rsid w:val="00A9140D"/>
    <w:rsid w:val="00A9146B"/>
    <w:rsid w:val="00A9156F"/>
    <w:rsid w:val="00A915D3"/>
    <w:rsid w:val="00A91740"/>
    <w:rsid w:val="00A91889"/>
    <w:rsid w:val="00A918B1"/>
    <w:rsid w:val="00A91BBD"/>
    <w:rsid w:val="00A91C4B"/>
    <w:rsid w:val="00A92933"/>
    <w:rsid w:val="00A92AD4"/>
    <w:rsid w:val="00A92C0F"/>
    <w:rsid w:val="00A92C6D"/>
    <w:rsid w:val="00A92E0E"/>
    <w:rsid w:val="00A92E17"/>
    <w:rsid w:val="00A9358C"/>
    <w:rsid w:val="00A93779"/>
    <w:rsid w:val="00A93ACB"/>
    <w:rsid w:val="00A9411E"/>
    <w:rsid w:val="00A941A0"/>
    <w:rsid w:val="00A9447B"/>
    <w:rsid w:val="00A94611"/>
    <w:rsid w:val="00A94A84"/>
    <w:rsid w:val="00A9522D"/>
    <w:rsid w:val="00A954B7"/>
    <w:rsid w:val="00A95584"/>
    <w:rsid w:val="00A956FA"/>
    <w:rsid w:val="00A958C5"/>
    <w:rsid w:val="00A95AE0"/>
    <w:rsid w:val="00A95E48"/>
    <w:rsid w:val="00A95E96"/>
    <w:rsid w:val="00A95FB8"/>
    <w:rsid w:val="00A962C4"/>
    <w:rsid w:val="00A963E9"/>
    <w:rsid w:val="00A9650B"/>
    <w:rsid w:val="00A966F5"/>
    <w:rsid w:val="00A9672D"/>
    <w:rsid w:val="00A968E5"/>
    <w:rsid w:val="00A96B9C"/>
    <w:rsid w:val="00A96CF1"/>
    <w:rsid w:val="00A9704E"/>
    <w:rsid w:val="00A9739C"/>
    <w:rsid w:val="00A9742E"/>
    <w:rsid w:val="00A974AC"/>
    <w:rsid w:val="00A974F6"/>
    <w:rsid w:val="00A97638"/>
    <w:rsid w:val="00A9765B"/>
    <w:rsid w:val="00A9783D"/>
    <w:rsid w:val="00A97CB2"/>
    <w:rsid w:val="00A97D3F"/>
    <w:rsid w:val="00A97F74"/>
    <w:rsid w:val="00AA004B"/>
    <w:rsid w:val="00AA0067"/>
    <w:rsid w:val="00AA0205"/>
    <w:rsid w:val="00AA0246"/>
    <w:rsid w:val="00AA04A5"/>
    <w:rsid w:val="00AA05A4"/>
    <w:rsid w:val="00AA0620"/>
    <w:rsid w:val="00AA0670"/>
    <w:rsid w:val="00AA0B5A"/>
    <w:rsid w:val="00AA0C26"/>
    <w:rsid w:val="00AA0C4E"/>
    <w:rsid w:val="00AA0D53"/>
    <w:rsid w:val="00AA0F2E"/>
    <w:rsid w:val="00AA0F81"/>
    <w:rsid w:val="00AA13B9"/>
    <w:rsid w:val="00AA14AE"/>
    <w:rsid w:val="00AA1855"/>
    <w:rsid w:val="00AA1C30"/>
    <w:rsid w:val="00AA1CD3"/>
    <w:rsid w:val="00AA1EBD"/>
    <w:rsid w:val="00AA200F"/>
    <w:rsid w:val="00AA209C"/>
    <w:rsid w:val="00AA21F1"/>
    <w:rsid w:val="00AA2254"/>
    <w:rsid w:val="00AA266E"/>
    <w:rsid w:val="00AA26B4"/>
    <w:rsid w:val="00AA2810"/>
    <w:rsid w:val="00AA2994"/>
    <w:rsid w:val="00AA2A5A"/>
    <w:rsid w:val="00AA2C8A"/>
    <w:rsid w:val="00AA2FA6"/>
    <w:rsid w:val="00AA3076"/>
    <w:rsid w:val="00AA3098"/>
    <w:rsid w:val="00AA30ED"/>
    <w:rsid w:val="00AA3265"/>
    <w:rsid w:val="00AA32B2"/>
    <w:rsid w:val="00AA383A"/>
    <w:rsid w:val="00AA398D"/>
    <w:rsid w:val="00AA3A12"/>
    <w:rsid w:val="00AA3AD1"/>
    <w:rsid w:val="00AA3B4C"/>
    <w:rsid w:val="00AA3DEC"/>
    <w:rsid w:val="00AA3E9A"/>
    <w:rsid w:val="00AA3F85"/>
    <w:rsid w:val="00AA41A0"/>
    <w:rsid w:val="00AA4429"/>
    <w:rsid w:val="00AA4496"/>
    <w:rsid w:val="00AA47D7"/>
    <w:rsid w:val="00AA4C69"/>
    <w:rsid w:val="00AA4D41"/>
    <w:rsid w:val="00AA4ED8"/>
    <w:rsid w:val="00AA4FC1"/>
    <w:rsid w:val="00AA5050"/>
    <w:rsid w:val="00AA50F7"/>
    <w:rsid w:val="00AA5317"/>
    <w:rsid w:val="00AA5527"/>
    <w:rsid w:val="00AA5F4D"/>
    <w:rsid w:val="00AA60DE"/>
    <w:rsid w:val="00AA6166"/>
    <w:rsid w:val="00AA61A8"/>
    <w:rsid w:val="00AA63CE"/>
    <w:rsid w:val="00AA6707"/>
    <w:rsid w:val="00AA687A"/>
    <w:rsid w:val="00AA6882"/>
    <w:rsid w:val="00AA6B14"/>
    <w:rsid w:val="00AA6D40"/>
    <w:rsid w:val="00AA6DA7"/>
    <w:rsid w:val="00AA6F20"/>
    <w:rsid w:val="00AA6FDC"/>
    <w:rsid w:val="00AA7084"/>
    <w:rsid w:val="00AA719B"/>
    <w:rsid w:val="00AA7492"/>
    <w:rsid w:val="00AA7697"/>
    <w:rsid w:val="00AA78FB"/>
    <w:rsid w:val="00AA7AE2"/>
    <w:rsid w:val="00AA7AEA"/>
    <w:rsid w:val="00AA7F8F"/>
    <w:rsid w:val="00AB0098"/>
    <w:rsid w:val="00AB0115"/>
    <w:rsid w:val="00AB02FD"/>
    <w:rsid w:val="00AB050A"/>
    <w:rsid w:val="00AB06D8"/>
    <w:rsid w:val="00AB06F5"/>
    <w:rsid w:val="00AB0798"/>
    <w:rsid w:val="00AB0800"/>
    <w:rsid w:val="00AB0CE6"/>
    <w:rsid w:val="00AB0E4A"/>
    <w:rsid w:val="00AB0F4B"/>
    <w:rsid w:val="00AB100E"/>
    <w:rsid w:val="00AB1028"/>
    <w:rsid w:val="00AB1290"/>
    <w:rsid w:val="00AB17B1"/>
    <w:rsid w:val="00AB1881"/>
    <w:rsid w:val="00AB1956"/>
    <w:rsid w:val="00AB19C5"/>
    <w:rsid w:val="00AB19D6"/>
    <w:rsid w:val="00AB1B66"/>
    <w:rsid w:val="00AB1C38"/>
    <w:rsid w:val="00AB1DFB"/>
    <w:rsid w:val="00AB1F09"/>
    <w:rsid w:val="00AB236C"/>
    <w:rsid w:val="00AB2641"/>
    <w:rsid w:val="00AB26F0"/>
    <w:rsid w:val="00AB2B19"/>
    <w:rsid w:val="00AB2B2E"/>
    <w:rsid w:val="00AB2CE3"/>
    <w:rsid w:val="00AB3165"/>
    <w:rsid w:val="00AB31CA"/>
    <w:rsid w:val="00AB327D"/>
    <w:rsid w:val="00AB33B9"/>
    <w:rsid w:val="00AB34D8"/>
    <w:rsid w:val="00AB35D1"/>
    <w:rsid w:val="00AB3684"/>
    <w:rsid w:val="00AB3A6B"/>
    <w:rsid w:val="00AB3ADE"/>
    <w:rsid w:val="00AB3D0F"/>
    <w:rsid w:val="00AB3E7A"/>
    <w:rsid w:val="00AB4001"/>
    <w:rsid w:val="00AB4107"/>
    <w:rsid w:val="00AB42D2"/>
    <w:rsid w:val="00AB4579"/>
    <w:rsid w:val="00AB4632"/>
    <w:rsid w:val="00AB4807"/>
    <w:rsid w:val="00AB4959"/>
    <w:rsid w:val="00AB4B03"/>
    <w:rsid w:val="00AB4B5B"/>
    <w:rsid w:val="00AB4BAE"/>
    <w:rsid w:val="00AB4BDA"/>
    <w:rsid w:val="00AB4CE1"/>
    <w:rsid w:val="00AB4CF4"/>
    <w:rsid w:val="00AB4D79"/>
    <w:rsid w:val="00AB4EAA"/>
    <w:rsid w:val="00AB4FAE"/>
    <w:rsid w:val="00AB536D"/>
    <w:rsid w:val="00AB5381"/>
    <w:rsid w:val="00AB56EE"/>
    <w:rsid w:val="00AB5774"/>
    <w:rsid w:val="00AB5900"/>
    <w:rsid w:val="00AB5D6B"/>
    <w:rsid w:val="00AB5F1F"/>
    <w:rsid w:val="00AB6018"/>
    <w:rsid w:val="00AB61DE"/>
    <w:rsid w:val="00AB662A"/>
    <w:rsid w:val="00AB6B14"/>
    <w:rsid w:val="00AB6BA1"/>
    <w:rsid w:val="00AB6FBA"/>
    <w:rsid w:val="00AB736F"/>
    <w:rsid w:val="00AB7382"/>
    <w:rsid w:val="00AB746A"/>
    <w:rsid w:val="00AB75F2"/>
    <w:rsid w:val="00AB77E6"/>
    <w:rsid w:val="00AB7A18"/>
    <w:rsid w:val="00AC01E3"/>
    <w:rsid w:val="00AC0202"/>
    <w:rsid w:val="00AC0229"/>
    <w:rsid w:val="00AC0366"/>
    <w:rsid w:val="00AC070B"/>
    <w:rsid w:val="00AC0A8F"/>
    <w:rsid w:val="00AC0ECC"/>
    <w:rsid w:val="00AC1151"/>
    <w:rsid w:val="00AC12E1"/>
    <w:rsid w:val="00AC1399"/>
    <w:rsid w:val="00AC14D6"/>
    <w:rsid w:val="00AC155A"/>
    <w:rsid w:val="00AC23A5"/>
    <w:rsid w:val="00AC24A0"/>
    <w:rsid w:val="00AC2545"/>
    <w:rsid w:val="00AC27CF"/>
    <w:rsid w:val="00AC2943"/>
    <w:rsid w:val="00AC2A78"/>
    <w:rsid w:val="00AC2C03"/>
    <w:rsid w:val="00AC2C7E"/>
    <w:rsid w:val="00AC2F7E"/>
    <w:rsid w:val="00AC311B"/>
    <w:rsid w:val="00AC319F"/>
    <w:rsid w:val="00AC3343"/>
    <w:rsid w:val="00AC3468"/>
    <w:rsid w:val="00AC3879"/>
    <w:rsid w:val="00AC38CB"/>
    <w:rsid w:val="00AC3A19"/>
    <w:rsid w:val="00AC3A76"/>
    <w:rsid w:val="00AC3AEA"/>
    <w:rsid w:val="00AC3C36"/>
    <w:rsid w:val="00AC3D3E"/>
    <w:rsid w:val="00AC3DD5"/>
    <w:rsid w:val="00AC3E69"/>
    <w:rsid w:val="00AC3E6D"/>
    <w:rsid w:val="00AC3F0F"/>
    <w:rsid w:val="00AC3FF5"/>
    <w:rsid w:val="00AC409B"/>
    <w:rsid w:val="00AC4287"/>
    <w:rsid w:val="00AC43B3"/>
    <w:rsid w:val="00AC43E2"/>
    <w:rsid w:val="00AC4609"/>
    <w:rsid w:val="00AC48F4"/>
    <w:rsid w:val="00AC4B13"/>
    <w:rsid w:val="00AC4C8D"/>
    <w:rsid w:val="00AC4D9F"/>
    <w:rsid w:val="00AC4FE6"/>
    <w:rsid w:val="00AC5439"/>
    <w:rsid w:val="00AC54C4"/>
    <w:rsid w:val="00AC553E"/>
    <w:rsid w:val="00AC5708"/>
    <w:rsid w:val="00AC59AD"/>
    <w:rsid w:val="00AC59B8"/>
    <w:rsid w:val="00AC5B82"/>
    <w:rsid w:val="00AC5C12"/>
    <w:rsid w:val="00AC5C7F"/>
    <w:rsid w:val="00AC5D33"/>
    <w:rsid w:val="00AC5E2B"/>
    <w:rsid w:val="00AC5E88"/>
    <w:rsid w:val="00AC5F3B"/>
    <w:rsid w:val="00AC681C"/>
    <w:rsid w:val="00AC69AA"/>
    <w:rsid w:val="00AC6D8A"/>
    <w:rsid w:val="00AC6F82"/>
    <w:rsid w:val="00AC703F"/>
    <w:rsid w:val="00AC707C"/>
    <w:rsid w:val="00AC7354"/>
    <w:rsid w:val="00AC73BD"/>
    <w:rsid w:val="00AC7835"/>
    <w:rsid w:val="00AC7B54"/>
    <w:rsid w:val="00AC7BB7"/>
    <w:rsid w:val="00AC7BE8"/>
    <w:rsid w:val="00AC7FC8"/>
    <w:rsid w:val="00AD0030"/>
    <w:rsid w:val="00AD05AA"/>
    <w:rsid w:val="00AD0690"/>
    <w:rsid w:val="00AD0931"/>
    <w:rsid w:val="00AD0A23"/>
    <w:rsid w:val="00AD0EFE"/>
    <w:rsid w:val="00AD0F82"/>
    <w:rsid w:val="00AD0FDF"/>
    <w:rsid w:val="00AD105F"/>
    <w:rsid w:val="00AD10BE"/>
    <w:rsid w:val="00AD10D7"/>
    <w:rsid w:val="00AD178A"/>
    <w:rsid w:val="00AD17BF"/>
    <w:rsid w:val="00AD1A37"/>
    <w:rsid w:val="00AD1BF0"/>
    <w:rsid w:val="00AD1E23"/>
    <w:rsid w:val="00AD1F64"/>
    <w:rsid w:val="00AD2114"/>
    <w:rsid w:val="00AD241B"/>
    <w:rsid w:val="00AD2440"/>
    <w:rsid w:val="00AD2503"/>
    <w:rsid w:val="00AD2583"/>
    <w:rsid w:val="00AD25F4"/>
    <w:rsid w:val="00AD268B"/>
    <w:rsid w:val="00AD2803"/>
    <w:rsid w:val="00AD2988"/>
    <w:rsid w:val="00AD2BB4"/>
    <w:rsid w:val="00AD30F4"/>
    <w:rsid w:val="00AD31FB"/>
    <w:rsid w:val="00AD3297"/>
    <w:rsid w:val="00AD3359"/>
    <w:rsid w:val="00AD3393"/>
    <w:rsid w:val="00AD3506"/>
    <w:rsid w:val="00AD35DF"/>
    <w:rsid w:val="00AD3664"/>
    <w:rsid w:val="00AD37AB"/>
    <w:rsid w:val="00AD3936"/>
    <w:rsid w:val="00AD394E"/>
    <w:rsid w:val="00AD3D03"/>
    <w:rsid w:val="00AD3DB2"/>
    <w:rsid w:val="00AD40B5"/>
    <w:rsid w:val="00AD4182"/>
    <w:rsid w:val="00AD4192"/>
    <w:rsid w:val="00AD43C7"/>
    <w:rsid w:val="00AD44F3"/>
    <w:rsid w:val="00AD4594"/>
    <w:rsid w:val="00AD459E"/>
    <w:rsid w:val="00AD491E"/>
    <w:rsid w:val="00AD49C5"/>
    <w:rsid w:val="00AD4AA2"/>
    <w:rsid w:val="00AD4D2D"/>
    <w:rsid w:val="00AD4E21"/>
    <w:rsid w:val="00AD5061"/>
    <w:rsid w:val="00AD512F"/>
    <w:rsid w:val="00AD56A9"/>
    <w:rsid w:val="00AD6010"/>
    <w:rsid w:val="00AD611C"/>
    <w:rsid w:val="00AD61E9"/>
    <w:rsid w:val="00AD6665"/>
    <w:rsid w:val="00AD68FB"/>
    <w:rsid w:val="00AD6BC7"/>
    <w:rsid w:val="00AD7208"/>
    <w:rsid w:val="00AD72C2"/>
    <w:rsid w:val="00AD74B4"/>
    <w:rsid w:val="00AD74B9"/>
    <w:rsid w:val="00AD7560"/>
    <w:rsid w:val="00AD76B8"/>
    <w:rsid w:val="00AD7783"/>
    <w:rsid w:val="00AD790E"/>
    <w:rsid w:val="00AD7CF4"/>
    <w:rsid w:val="00AD7DBB"/>
    <w:rsid w:val="00AE006D"/>
    <w:rsid w:val="00AE0330"/>
    <w:rsid w:val="00AE0349"/>
    <w:rsid w:val="00AE043B"/>
    <w:rsid w:val="00AE062A"/>
    <w:rsid w:val="00AE069D"/>
    <w:rsid w:val="00AE08C3"/>
    <w:rsid w:val="00AE0AFD"/>
    <w:rsid w:val="00AE0D57"/>
    <w:rsid w:val="00AE0F29"/>
    <w:rsid w:val="00AE0F7A"/>
    <w:rsid w:val="00AE106B"/>
    <w:rsid w:val="00AE11E5"/>
    <w:rsid w:val="00AE1638"/>
    <w:rsid w:val="00AE1651"/>
    <w:rsid w:val="00AE1847"/>
    <w:rsid w:val="00AE18AC"/>
    <w:rsid w:val="00AE1952"/>
    <w:rsid w:val="00AE1F39"/>
    <w:rsid w:val="00AE205D"/>
    <w:rsid w:val="00AE223D"/>
    <w:rsid w:val="00AE2250"/>
    <w:rsid w:val="00AE2400"/>
    <w:rsid w:val="00AE24F8"/>
    <w:rsid w:val="00AE25A0"/>
    <w:rsid w:val="00AE274A"/>
    <w:rsid w:val="00AE2970"/>
    <w:rsid w:val="00AE2C17"/>
    <w:rsid w:val="00AE2C18"/>
    <w:rsid w:val="00AE2F0D"/>
    <w:rsid w:val="00AE3005"/>
    <w:rsid w:val="00AE33ED"/>
    <w:rsid w:val="00AE3C70"/>
    <w:rsid w:val="00AE3CF1"/>
    <w:rsid w:val="00AE3E1F"/>
    <w:rsid w:val="00AE3F09"/>
    <w:rsid w:val="00AE4040"/>
    <w:rsid w:val="00AE40D1"/>
    <w:rsid w:val="00AE423C"/>
    <w:rsid w:val="00AE427A"/>
    <w:rsid w:val="00AE42A3"/>
    <w:rsid w:val="00AE43BF"/>
    <w:rsid w:val="00AE4455"/>
    <w:rsid w:val="00AE4581"/>
    <w:rsid w:val="00AE4701"/>
    <w:rsid w:val="00AE4B38"/>
    <w:rsid w:val="00AE4BCA"/>
    <w:rsid w:val="00AE4BD5"/>
    <w:rsid w:val="00AE4EB7"/>
    <w:rsid w:val="00AE52E3"/>
    <w:rsid w:val="00AE5737"/>
    <w:rsid w:val="00AE5924"/>
    <w:rsid w:val="00AE5A03"/>
    <w:rsid w:val="00AE5AC7"/>
    <w:rsid w:val="00AE5BDF"/>
    <w:rsid w:val="00AE5DF8"/>
    <w:rsid w:val="00AE5E18"/>
    <w:rsid w:val="00AE6060"/>
    <w:rsid w:val="00AE60B2"/>
    <w:rsid w:val="00AE6147"/>
    <w:rsid w:val="00AE615F"/>
    <w:rsid w:val="00AE61C7"/>
    <w:rsid w:val="00AE623B"/>
    <w:rsid w:val="00AE6282"/>
    <w:rsid w:val="00AE6402"/>
    <w:rsid w:val="00AE64E1"/>
    <w:rsid w:val="00AE6752"/>
    <w:rsid w:val="00AE67F4"/>
    <w:rsid w:val="00AE68ED"/>
    <w:rsid w:val="00AE691F"/>
    <w:rsid w:val="00AE6B6F"/>
    <w:rsid w:val="00AE723B"/>
    <w:rsid w:val="00AE762B"/>
    <w:rsid w:val="00AE7830"/>
    <w:rsid w:val="00AE791B"/>
    <w:rsid w:val="00AE7D24"/>
    <w:rsid w:val="00AE7E94"/>
    <w:rsid w:val="00AF0085"/>
    <w:rsid w:val="00AF028A"/>
    <w:rsid w:val="00AF02F6"/>
    <w:rsid w:val="00AF0350"/>
    <w:rsid w:val="00AF0520"/>
    <w:rsid w:val="00AF06BC"/>
    <w:rsid w:val="00AF0788"/>
    <w:rsid w:val="00AF09CD"/>
    <w:rsid w:val="00AF09E0"/>
    <w:rsid w:val="00AF0A35"/>
    <w:rsid w:val="00AF0B3D"/>
    <w:rsid w:val="00AF0B5A"/>
    <w:rsid w:val="00AF0C68"/>
    <w:rsid w:val="00AF0C8C"/>
    <w:rsid w:val="00AF10AD"/>
    <w:rsid w:val="00AF13DD"/>
    <w:rsid w:val="00AF157D"/>
    <w:rsid w:val="00AF17E1"/>
    <w:rsid w:val="00AF1957"/>
    <w:rsid w:val="00AF1A9A"/>
    <w:rsid w:val="00AF1B31"/>
    <w:rsid w:val="00AF1BF9"/>
    <w:rsid w:val="00AF1D5B"/>
    <w:rsid w:val="00AF1E21"/>
    <w:rsid w:val="00AF1E2B"/>
    <w:rsid w:val="00AF1EF7"/>
    <w:rsid w:val="00AF1F99"/>
    <w:rsid w:val="00AF1FA3"/>
    <w:rsid w:val="00AF2006"/>
    <w:rsid w:val="00AF2058"/>
    <w:rsid w:val="00AF2061"/>
    <w:rsid w:val="00AF2085"/>
    <w:rsid w:val="00AF208E"/>
    <w:rsid w:val="00AF2122"/>
    <w:rsid w:val="00AF2185"/>
    <w:rsid w:val="00AF2524"/>
    <w:rsid w:val="00AF259C"/>
    <w:rsid w:val="00AF2667"/>
    <w:rsid w:val="00AF26AF"/>
    <w:rsid w:val="00AF26CA"/>
    <w:rsid w:val="00AF2815"/>
    <w:rsid w:val="00AF29BA"/>
    <w:rsid w:val="00AF2A8F"/>
    <w:rsid w:val="00AF2ADD"/>
    <w:rsid w:val="00AF2B87"/>
    <w:rsid w:val="00AF2B92"/>
    <w:rsid w:val="00AF2C9A"/>
    <w:rsid w:val="00AF2CFD"/>
    <w:rsid w:val="00AF30ED"/>
    <w:rsid w:val="00AF322D"/>
    <w:rsid w:val="00AF3238"/>
    <w:rsid w:val="00AF3346"/>
    <w:rsid w:val="00AF3479"/>
    <w:rsid w:val="00AF3507"/>
    <w:rsid w:val="00AF3529"/>
    <w:rsid w:val="00AF3677"/>
    <w:rsid w:val="00AF37AB"/>
    <w:rsid w:val="00AF389A"/>
    <w:rsid w:val="00AF38C8"/>
    <w:rsid w:val="00AF3951"/>
    <w:rsid w:val="00AF3A84"/>
    <w:rsid w:val="00AF3CC5"/>
    <w:rsid w:val="00AF43E0"/>
    <w:rsid w:val="00AF463B"/>
    <w:rsid w:val="00AF4802"/>
    <w:rsid w:val="00AF4818"/>
    <w:rsid w:val="00AF4B3C"/>
    <w:rsid w:val="00AF4B81"/>
    <w:rsid w:val="00AF4E5A"/>
    <w:rsid w:val="00AF4F1E"/>
    <w:rsid w:val="00AF5226"/>
    <w:rsid w:val="00AF527B"/>
    <w:rsid w:val="00AF53C4"/>
    <w:rsid w:val="00AF5677"/>
    <w:rsid w:val="00AF5983"/>
    <w:rsid w:val="00AF59A5"/>
    <w:rsid w:val="00AF5B56"/>
    <w:rsid w:val="00AF603C"/>
    <w:rsid w:val="00AF611E"/>
    <w:rsid w:val="00AF6221"/>
    <w:rsid w:val="00AF6230"/>
    <w:rsid w:val="00AF636A"/>
    <w:rsid w:val="00AF640C"/>
    <w:rsid w:val="00AF64BF"/>
    <w:rsid w:val="00AF655B"/>
    <w:rsid w:val="00AF667D"/>
    <w:rsid w:val="00AF6735"/>
    <w:rsid w:val="00AF675C"/>
    <w:rsid w:val="00AF69EE"/>
    <w:rsid w:val="00AF6C42"/>
    <w:rsid w:val="00AF6DBF"/>
    <w:rsid w:val="00AF6E57"/>
    <w:rsid w:val="00AF6E90"/>
    <w:rsid w:val="00AF7542"/>
    <w:rsid w:val="00AF79E6"/>
    <w:rsid w:val="00AF79EE"/>
    <w:rsid w:val="00AF7C85"/>
    <w:rsid w:val="00AF7DD1"/>
    <w:rsid w:val="00AF7E37"/>
    <w:rsid w:val="00AF7FB5"/>
    <w:rsid w:val="00B005F3"/>
    <w:rsid w:val="00B0080E"/>
    <w:rsid w:val="00B009DA"/>
    <w:rsid w:val="00B00ABB"/>
    <w:rsid w:val="00B01082"/>
    <w:rsid w:val="00B0112A"/>
    <w:rsid w:val="00B014C6"/>
    <w:rsid w:val="00B01535"/>
    <w:rsid w:val="00B01682"/>
    <w:rsid w:val="00B01724"/>
    <w:rsid w:val="00B019A0"/>
    <w:rsid w:val="00B01B98"/>
    <w:rsid w:val="00B01C51"/>
    <w:rsid w:val="00B01D31"/>
    <w:rsid w:val="00B01D48"/>
    <w:rsid w:val="00B01F1D"/>
    <w:rsid w:val="00B021C4"/>
    <w:rsid w:val="00B02605"/>
    <w:rsid w:val="00B02662"/>
    <w:rsid w:val="00B026B6"/>
    <w:rsid w:val="00B026F6"/>
    <w:rsid w:val="00B02899"/>
    <w:rsid w:val="00B02D91"/>
    <w:rsid w:val="00B0300D"/>
    <w:rsid w:val="00B03344"/>
    <w:rsid w:val="00B0342C"/>
    <w:rsid w:val="00B03550"/>
    <w:rsid w:val="00B035C0"/>
    <w:rsid w:val="00B037B5"/>
    <w:rsid w:val="00B03C94"/>
    <w:rsid w:val="00B03E15"/>
    <w:rsid w:val="00B040AB"/>
    <w:rsid w:val="00B0430B"/>
    <w:rsid w:val="00B04433"/>
    <w:rsid w:val="00B0486B"/>
    <w:rsid w:val="00B048D1"/>
    <w:rsid w:val="00B048E5"/>
    <w:rsid w:val="00B0496E"/>
    <w:rsid w:val="00B049DB"/>
    <w:rsid w:val="00B04AA1"/>
    <w:rsid w:val="00B04ADD"/>
    <w:rsid w:val="00B04B70"/>
    <w:rsid w:val="00B04BD9"/>
    <w:rsid w:val="00B0502C"/>
    <w:rsid w:val="00B051A2"/>
    <w:rsid w:val="00B053D2"/>
    <w:rsid w:val="00B0540A"/>
    <w:rsid w:val="00B05460"/>
    <w:rsid w:val="00B0554F"/>
    <w:rsid w:val="00B057E7"/>
    <w:rsid w:val="00B058B3"/>
    <w:rsid w:val="00B05BFD"/>
    <w:rsid w:val="00B05C9D"/>
    <w:rsid w:val="00B05D7B"/>
    <w:rsid w:val="00B05D90"/>
    <w:rsid w:val="00B06290"/>
    <w:rsid w:val="00B06300"/>
    <w:rsid w:val="00B06516"/>
    <w:rsid w:val="00B06523"/>
    <w:rsid w:val="00B06798"/>
    <w:rsid w:val="00B06867"/>
    <w:rsid w:val="00B06C7B"/>
    <w:rsid w:val="00B06D86"/>
    <w:rsid w:val="00B07206"/>
    <w:rsid w:val="00B072DF"/>
    <w:rsid w:val="00B0730F"/>
    <w:rsid w:val="00B0737C"/>
    <w:rsid w:val="00B07499"/>
    <w:rsid w:val="00B07681"/>
    <w:rsid w:val="00B0797B"/>
    <w:rsid w:val="00B079B1"/>
    <w:rsid w:val="00B07EEA"/>
    <w:rsid w:val="00B102FB"/>
    <w:rsid w:val="00B10332"/>
    <w:rsid w:val="00B10347"/>
    <w:rsid w:val="00B103C5"/>
    <w:rsid w:val="00B10514"/>
    <w:rsid w:val="00B107A7"/>
    <w:rsid w:val="00B10989"/>
    <w:rsid w:val="00B10D4B"/>
    <w:rsid w:val="00B10F9A"/>
    <w:rsid w:val="00B10FF8"/>
    <w:rsid w:val="00B11078"/>
    <w:rsid w:val="00B110E6"/>
    <w:rsid w:val="00B1112F"/>
    <w:rsid w:val="00B11175"/>
    <w:rsid w:val="00B1120F"/>
    <w:rsid w:val="00B113A7"/>
    <w:rsid w:val="00B113EC"/>
    <w:rsid w:val="00B114FE"/>
    <w:rsid w:val="00B11C3E"/>
    <w:rsid w:val="00B11EC8"/>
    <w:rsid w:val="00B11EFB"/>
    <w:rsid w:val="00B1200C"/>
    <w:rsid w:val="00B122C4"/>
    <w:rsid w:val="00B12337"/>
    <w:rsid w:val="00B123A2"/>
    <w:rsid w:val="00B128A0"/>
    <w:rsid w:val="00B128A1"/>
    <w:rsid w:val="00B12A19"/>
    <w:rsid w:val="00B12A4C"/>
    <w:rsid w:val="00B12A8D"/>
    <w:rsid w:val="00B12AB4"/>
    <w:rsid w:val="00B12DEF"/>
    <w:rsid w:val="00B13516"/>
    <w:rsid w:val="00B13574"/>
    <w:rsid w:val="00B13A1A"/>
    <w:rsid w:val="00B13A58"/>
    <w:rsid w:val="00B13A73"/>
    <w:rsid w:val="00B13AA2"/>
    <w:rsid w:val="00B13BFA"/>
    <w:rsid w:val="00B13CC9"/>
    <w:rsid w:val="00B142B9"/>
    <w:rsid w:val="00B142FC"/>
    <w:rsid w:val="00B14309"/>
    <w:rsid w:val="00B1457B"/>
    <w:rsid w:val="00B146E8"/>
    <w:rsid w:val="00B1474F"/>
    <w:rsid w:val="00B14882"/>
    <w:rsid w:val="00B149D3"/>
    <w:rsid w:val="00B14AEE"/>
    <w:rsid w:val="00B14C45"/>
    <w:rsid w:val="00B14DAC"/>
    <w:rsid w:val="00B14E35"/>
    <w:rsid w:val="00B14EE3"/>
    <w:rsid w:val="00B14F6F"/>
    <w:rsid w:val="00B15162"/>
    <w:rsid w:val="00B152CE"/>
    <w:rsid w:val="00B15603"/>
    <w:rsid w:val="00B15D0C"/>
    <w:rsid w:val="00B15EAD"/>
    <w:rsid w:val="00B15F3E"/>
    <w:rsid w:val="00B1621C"/>
    <w:rsid w:val="00B16701"/>
    <w:rsid w:val="00B171C3"/>
    <w:rsid w:val="00B172A6"/>
    <w:rsid w:val="00B174CE"/>
    <w:rsid w:val="00B17527"/>
    <w:rsid w:val="00B17903"/>
    <w:rsid w:val="00B17BE1"/>
    <w:rsid w:val="00B17EE5"/>
    <w:rsid w:val="00B17F16"/>
    <w:rsid w:val="00B20012"/>
    <w:rsid w:val="00B202D5"/>
    <w:rsid w:val="00B2047D"/>
    <w:rsid w:val="00B2058E"/>
    <w:rsid w:val="00B20689"/>
    <w:rsid w:val="00B20710"/>
    <w:rsid w:val="00B207AE"/>
    <w:rsid w:val="00B20824"/>
    <w:rsid w:val="00B20B19"/>
    <w:rsid w:val="00B20E60"/>
    <w:rsid w:val="00B21317"/>
    <w:rsid w:val="00B2154C"/>
    <w:rsid w:val="00B21558"/>
    <w:rsid w:val="00B21761"/>
    <w:rsid w:val="00B2176F"/>
    <w:rsid w:val="00B217C4"/>
    <w:rsid w:val="00B2194E"/>
    <w:rsid w:val="00B21AE3"/>
    <w:rsid w:val="00B21E73"/>
    <w:rsid w:val="00B21ED4"/>
    <w:rsid w:val="00B21F81"/>
    <w:rsid w:val="00B221CB"/>
    <w:rsid w:val="00B222B4"/>
    <w:rsid w:val="00B222EA"/>
    <w:rsid w:val="00B226F2"/>
    <w:rsid w:val="00B22767"/>
    <w:rsid w:val="00B22A48"/>
    <w:rsid w:val="00B22A7B"/>
    <w:rsid w:val="00B22B86"/>
    <w:rsid w:val="00B22F46"/>
    <w:rsid w:val="00B23046"/>
    <w:rsid w:val="00B23234"/>
    <w:rsid w:val="00B23598"/>
    <w:rsid w:val="00B238A4"/>
    <w:rsid w:val="00B23B53"/>
    <w:rsid w:val="00B23BC0"/>
    <w:rsid w:val="00B23BD5"/>
    <w:rsid w:val="00B23C69"/>
    <w:rsid w:val="00B23D75"/>
    <w:rsid w:val="00B23DE6"/>
    <w:rsid w:val="00B23DF6"/>
    <w:rsid w:val="00B24492"/>
    <w:rsid w:val="00B2455C"/>
    <w:rsid w:val="00B245FD"/>
    <w:rsid w:val="00B247DC"/>
    <w:rsid w:val="00B2498A"/>
    <w:rsid w:val="00B24CAB"/>
    <w:rsid w:val="00B24CF2"/>
    <w:rsid w:val="00B24F9D"/>
    <w:rsid w:val="00B24FB2"/>
    <w:rsid w:val="00B24FE1"/>
    <w:rsid w:val="00B25084"/>
    <w:rsid w:val="00B25126"/>
    <w:rsid w:val="00B251C3"/>
    <w:rsid w:val="00B25210"/>
    <w:rsid w:val="00B25287"/>
    <w:rsid w:val="00B25322"/>
    <w:rsid w:val="00B25469"/>
    <w:rsid w:val="00B25565"/>
    <w:rsid w:val="00B25A17"/>
    <w:rsid w:val="00B2604F"/>
    <w:rsid w:val="00B2635B"/>
    <w:rsid w:val="00B26876"/>
    <w:rsid w:val="00B2687C"/>
    <w:rsid w:val="00B26A32"/>
    <w:rsid w:val="00B26DC8"/>
    <w:rsid w:val="00B272E0"/>
    <w:rsid w:val="00B27527"/>
    <w:rsid w:val="00B2762D"/>
    <w:rsid w:val="00B27634"/>
    <w:rsid w:val="00B27918"/>
    <w:rsid w:val="00B27AF2"/>
    <w:rsid w:val="00B27AF4"/>
    <w:rsid w:val="00B27CFC"/>
    <w:rsid w:val="00B27EBE"/>
    <w:rsid w:val="00B3018B"/>
    <w:rsid w:val="00B302AA"/>
    <w:rsid w:val="00B3049A"/>
    <w:rsid w:val="00B304C8"/>
    <w:rsid w:val="00B30874"/>
    <w:rsid w:val="00B30B90"/>
    <w:rsid w:val="00B30CEA"/>
    <w:rsid w:val="00B30D1D"/>
    <w:rsid w:val="00B31170"/>
    <w:rsid w:val="00B31325"/>
    <w:rsid w:val="00B317E2"/>
    <w:rsid w:val="00B31BB4"/>
    <w:rsid w:val="00B31F5C"/>
    <w:rsid w:val="00B324FD"/>
    <w:rsid w:val="00B32581"/>
    <w:rsid w:val="00B32841"/>
    <w:rsid w:val="00B328EF"/>
    <w:rsid w:val="00B32B63"/>
    <w:rsid w:val="00B32B81"/>
    <w:rsid w:val="00B32BCF"/>
    <w:rsid w:val="00B32D13"/>
    <w:rsid w:val="00B32D44"/>
    <w:rsid w:val="00B32EF0"/>
    <w:rsid w:val="00B33077"/>
    <w:rsid w:val="00B330A6"/>
    <w:rsid w:val="00B3311D"/>
    <w:rsid w:val="00B33291"/>
    <w:rsid w:val="00B333F7"/>
    <w:rsid w:val="00B33531"/>
    <w:rsid w:val="00B335A7"/>
    <w:rsid w:val="00B335F8"/>
    <w:rsid w:val="00B338FB"/>
    <w:rsid w:val="00B3393C"/>
    <w:rsid w:val="00B341C6"/>
    <w:rsid w:val="00B34344"/>
    <w:rsid w:val="00B34421"/>
    <w:rsid w:val="00B34429"/>
    <w:rsid w:val="00B345C7"/>
    <w:rsid w:val="00B346B5"/>
    <w:rsid w:val="00B3499D"/>
    <w:rsid w:val="00B349F2"/>
    <w:rsid w:val="00B34ABD"/>
    <w:rsid w:val="00B34E23"/>
    <w:rsid w:val="00B352A1"/>
    <w:rsid w:val="00B352EB"/>
    <w:rsid w:val="00B353D0"/>
    <w:rsid w:val="00B357A2"/>
    <w:rsid w:val="00B3595E"/>
    <w:rsid w:val="00B35C3C"/>
    <w:rsid w:val="00B35DF5"/>
    <w:rsid w:val="00B35DFA"/>
    <w:rsid w:val="00B35FC8"/>
    <w:rsid w:val="00B36003"/>
    <w:rsid w:val="00B360CE"/>
    <w:rsid w:val="00B36224"/>
    <w:rsid w:val="00B36321"/>
    <w:rsid w:val="00B36433"/>
    <w:rsid w:val="00B3684F"/>
    <w:rsid w:val="00B36AA3"/>
    <w:rsid w:val="00B36BE4"/>
    <w:rsid w:val="00B36C8B"/>
    <w:rsid w:val="00B36E48"/>
    <w:rsid w:val="00B36E68"/>
    <w:rsid w:val="00B36ED1"/>
    <w:rsid w:val="00B3723E"/>
    <w:rsid w:val="00B3727B"/>
    <w:rsid w:val="00B3730B"/>
    <w:rsid w:val="00B3730E"/>
    <w:rsid w:val="00B373A2"/>
    <w:rsid w:val="00B375D3"/>
    <w:rsid w:val="00B37632"/>
    <w:rsid w:val="00B37702"/>
    <w:rsid w:val="00B3776C"/>
    <w:rsid w:val="00B37777"/>
    <w:rsid w:val="00B37B11"/>
    <w:rsid w:val="00B37BD1"/>
    <w:rsid w:val="00B37D80"/>
    <w:rsid w:val="00B37DF3"/>
    <w:rsid w:val="00B401BA"/>
    <w:rsid w:val="00B402B7"/>
    <w:rsid w:val="00B402ED"/>
    <w:rsid w:val="00B4038C"/>
    <w:rsid w:val="00B403AA"/>
    <w:rsid w:val="00B40421"/>
    <w:rsid w:val="00B40D80"/>
    <w:rsid w:val="00B41405"/>
    <w:rsid w:val="00B415D3"/>
    <w:rsid w:val="00B4164D"/>
    <w:rsid w:val="00B41889"/>
    <w:rsid w:val="00B419B7"/>
    <w:rsid w:val="00B41D7E"/>
    <w:rsid w:val="00B41DFC"/>
    <w:rsid w:val="00B41EF7"/>
    <w:rsid w:val="00B41FF0"/>
    <w:rsid w:val="00B4201A"/>
    <w:rsid w:val="00B421DF"/>
    <w:rsid w:val="00B42635"/>
    <w:rsid w:val="00B4279A"/>
    <w:rsid w:val="00B42801"/>
    <w:rsid w:val="00B428FB"/>
    <w:rsid w:val="00B42ABE"/>
    <w:rsid w:val="00B42B41"/>
    <w:rsid w:val="00B43884"/>
    <w:rsid w:val="00B4397E"/>
    <w:rsid w:val="00B43996"/>
    <w:rsid w:val="00B43B8B"/>
    <w:rsid w:val="00B43F36"/>
    <w:rsid w:val="00B44150"/>
    <w:rsid w:val="00B441BD"/>
    <w:rsid w:val="00B4427E"/>
    <w:rsid w:val="00B44479"/>
    <w:rsid w:val="00B444B0"/>
    <w:rsid w:val="00B447B4"/>
    <w:rsid w:val="00B44811"/>
    <w:rsid w:val="00B44862"/>
    <w:rsid w:val="00B44948"/>
    <w:rsid w:val="00B44AF7"/>
    <w:rsid w:val="00B4507D"/>
    <w:rsid w:val="00B450FC"/>
    <w:rsid w:val="00B4513E"/>
    <w:rsid w:val="00B45238"/>
    <w:rsid w:val="00B45327"/>
    <w:rsid w:val="00B454A1"/>
    <w:rsid w:val="00B45606"/>
    <w:rsid w:val="00B45A0F"/>
    <w:rsid w:val="00B45BBC"/>
    <w:rsid w:val="00B45EF0"/>
    <w:rsid w:val="00B461EC"/>
    <w:rsid w:val="00B462EB"/>
    <w:rsid w:val="00B46331"/>
    <w:rsid w:val="00B463C6"/>
    <w:rsid w:val="00B465DC"/>
    <w:rsid w:val="00B46684"/>
    <w:rsid w:val="00B466FD"/>
    <w:rsid w:val="00B467C0"/>
    <w:rsid w:val="00B4692E"/>
    <w:rsid w:val="00B46B1E"/>
    <w:rsid w:val="00B46BE0"/>
    <w:rsid w:val="00B46D85"/>
    <w:rsid w:val="00B46F9B"/>
    <w:rsid w:val="00B47198"/>
    <w:rsid w:val="00B471CA"/>
    <w:rsid w:val="00B471CF"/>
    <w:rsid w:val="00B472C0"/>
    <w:rsid w:val="00B4738F"/>
    <w:rsid w:val="00B4755F"/>
    <w:rsid w:val="00B47825"/>
    <w:rsid w:val="00B47A7E"/>
    <w:rsid w:val="00B47B02"/>
    <w:rsid w:val="00B47B5E"/>
    <w:rsid w:val="00B47C71"/>
    <w:rsid w:val="00B47E52"/>
    <w:rsid w:val="00B47E6D"/>
    <w:rsid w:val="00B505A3"/>
    <w:rsid w:val="00B507A2"/>
    <w:rsid w:val="00B50D3D"/>
    <w:rsid w:val="00B510D3"/>
    <w:rsid w:val="00B511C4"/>
    <w:rsid w:val="00B51583"/>
    <w:rsid w:val="00B51A72"/>
    <w:rsid w:val="00B51BBD"/>
    <w:rsid w:val="00B51D4B"/>
    <w:rsid w:val="00B51E47"/>
    <w:rsid w:val="00B51F40"/>
    <w:rsid w:val="00B52559"/>
    <w:rsid w:val="00B527D3"/>
    <w:rsid w:val="00B52989"/>
    <w:rsid w:val="00B52BF3"/>
    <w:rsid w:val="00B52C6B"/>
    <w:rsid w:val="00B52E93"/>
    <w:rsid w:val="00B52FCF"/>
    <w:rsid w:val="00B533F1"/>
    <w:rsid w:val="00B53488"/>
    <w:rsid w:val="00B5356F"/>
    <w:rsid w:val="00B5364E"/>
    <w:rsid w:val="00B53664"/>
    <w:rsid w:val="00B53A78"/>
    <w:rsid w:val="00B53B48"/>
    <w:rsid w:val="00B53CD5"/>
    <w:rsid w:val="00B53CE7"/>
    <w:rsid w:val="00B5408E"/>
    <w:rsid w:val="00B5409E"/>
    <w:rsid w:val="00B540AA"/>
    <w:rsid w:val="00B540DA"/>
    <w:rsid w:val="00B5413F"/>
    <w:rsid w:val="00B543FB"/>
    <w:rsid w:val="00B5480D"/>
    <w:rsid w:val="00B54970"/>
    <w:rsid w:val="00B54B56"/>
    <w:rsid w:val="00B54D61"/>
    <w:rsid w:val="00B54D70"/>
    <w:rsid w:val="00B54EDD"/>
    <w:rsid w:val="00B55092"/>
    <w:rsid w:val="00B550B2"/>
    <w:rsid w:val="00B552AC"/>
    <w:rsid w:val="00B55694"/>
    <w:rsid w:val="00B55959"/>
    <w:rsid w:val="00B559D6"/>
    <w:rsid w:val="00B55AD2"/>
    <w:rsid w:val="00B55B1D"/>
    <w:rsid w:val="00B55BDF"/>
    <w:rsid w:val="00B55D29"/>
    <w:rsid w:val="00B55FB8"/>
    <w:rsid w:val="00B56056"/>
    <w:rsid w:val="00B56573"/>
    <w:rsid w:val="00B56653"/>
    <w:rsid w:val="00B56821"/>
    <w:rsid w:val="00B569EC"/>
    <w:rsid w:val="00B56CF2"/>
    <w:rsid w:val="00B571C9"/>
    <w:rsid w:val="00B57377"/>
    <w:rsid w:val="00B577DC"/>
    <w:rsid w:val="00B57BDE"/>
    <w:rsid w:val="00B57C88"/>
    <w:rsid w:val="00B57D4E"/>
    <w:rsid w:val="00B57F24"/>
    <w:rsid w:val="00B60208"/>
    <w:rsid w:val="00B603E2"/>
    <w:rsid w:val="00B60438"/>
    <w:rsid w:val="00B6045B"/>
    <w:rsid w:val="00B60909"/>
    <w:rsid w:val="00B6091C"/>
    <w:rsid w:val="00B60A06"/>
    <w:rsid w:val="00B60A0B"/>
    <w:rsid w:val="00B60A62"/>
    <w:rsid w:val="00B60BFE"/>
    <w:rsid w:val="00B61106"/>
    <w:rsid w:val="00B611EE"/>
    <w:rsid w:val="00B6124A"/>
    <w:rsid w:val="00B61572"/>
    <w:rsid w:val="00B61850"/>
    <w:rsid w:val="00B619A2"/>
    <w:rsid w:val="00B619EB"/>
    <w:rsid w:val="00B61E3B"/>
    <w:rsid w:val="00B61EFE"/>
    <w:rsid w:val="00B61F02"/>
    <w:rsid w:val="00B61FAE"/>
    <w:rsid w:val="00B6210E"/>
    <w:rsid w:val="00B62650"/>
    <w:rsid w:val="00B62899"/>
    <w:rsid w:val="00B629A8"/>
    <w:rsid w:val="00B629B1"/>
    <w:rsid w:val="00B62A63"/>
    <w:rsid w:val="00B62AFC"/>
    <w:rsid w:val="00B62C01"/>
    <w:rsid w:val="00B62E5C"/>
    <w:rsid w:val="00B631C9"/>
    <w:rsid w:val="00B631CD"/>
    <w:rsid w:val="00B631F3"/>
    <w:rsid w:val="00B6329D"/>
    <w:rsid w:val="00B632A7"/>
    <w:rsid w:val="00B634C5"/>
    <w:rsid w:val="00B634F3"/>
    <w:rsid w:val="00B636A7"/>
    <w:rsid w:val="00B636CA"/>
    <w:rsid w:val="00B63985"/>
    <w:rsid w:val="00B63BA4"/>
    <w:rsid w:val="00B63CEF"/>
    <w:rsid w:val="00B63D40"/>
    <w:rsid w:val="00B63F3A"/>
    <w:rsid w:val="00B63FB8"/>
    <w:rsid w:val="00B643C8"/>
    <w:rsid w:val="00B64840"/>
    <w:rsid w:val="00B649A6"/>
    <w:rsid w:val="00B64A64"/>
    <w:rsid w:val="00B64D0A"/>
    <w:rsid w:val="00B64D1F"/>
    <w:rsid w:val="00B650EE"/>
    <w:rsid w:val="00B651D7"/>
    <w:rsid w:val="00B653E1"/>
    <w:rsid w:val="00B655DD"/>
    <w:rsid w:val="00B657A9"/>
    <w:rsid w:val="00B65C55"/>
    <w:rsid w:val="00B65CFD"/>
    <w:rsid w:val="00B65FB1"/>
    <w:rsid w:val="00B661FA"/>
    <w:rsid w:val="00B6688F"/>
    <w:rsid w:val="00B6690B"/>
    <w:rsid w:val="00B669B1"/>
    <w:rsid w:val="00B66B24"/>
    <w:rsid w:val="00B66DE0"/>
    <w:rsid w:val="00B66EE4"/>
    <w:rsid w:val="00B6708C"/>
    <w:rsid w:val="00B67273"/>
    <w:rsid w:val="00B672F3"/>
    <w:rsid w:val="00B6752D"/>
    <w:rsid w:val="00B6764D"/>
    <w:rsid w:val="00B6793C"/>
    <w:rsid w:val="00B67B59"/>
    <w:rsid w:val="00B67C51"/>
    <w:rsid w:val="00B67EBB"/>
    <w:rsid w:val="00B70042"/>
    <w:rsid w:val="00B70073"/>
    <w:rsid w:val="00B7012F"/>
    <w:rsid w:val="00B70143"/>
    <w:rsid w:val="00B70270"/>
    <w:rsid w:val="00B70279"/>
    <w:rsid w:val="00B70334"/>
    <w:rsid w:val="00B704FB"/>
    <w:rsid w:val="00B7053D"/>
    <w:rsid w:val="00B705BD"/>
    <w:rsid w:val="00B70678"/>
    <w:rsid w:val="00B707AF"/>
    <w:rsid w:val="00B70C11"/>
    <w:rsid w:val="00B70C76"/>
    <w:rsid w:val="00B70D16"/>
    <w:rsid w:val="00B70D36"/>
    <w:rsid w:val="00B70D80"/>
    <w:rsid w:val="00B710FD"/>
    <w:rsid w:val="00B71474"/>
    <w:rsid w:val="00B714F2"/>
    <w:rsid w:val="00B71534"/>
    <w:rsid w:val="00B716B4"/>
    <w:rsid w:val="00B71790"/>
    <w:rsid w:val="00B71909"/>
    <w:rsid w:val="00B71E8D"/>
    <w:rsid w:val="00B71EC9"/>
    <w:rsid w:val="00B71F91"/>
    <w:rsid w:val="00B724BB"/>
    <w:rsid w:val="00B72C07"/>
    <w:rsid w:val="00B72CA3"/>
    <w:rsid w:val="00B72E13"/>
    <w:rsid w:val="00B72FA3"/>
    <w:rsid w:val="00B72FB9"/>
    <w:rsid w:val="00B7301A"/>
    <w:rsid w:val="00B730BA"/>
    <w:rsid w:val="00B73396"/>
    <w:rsid w:val="00B73476"/>
    <w:rsid w:val="00B734BC"/>
    <w:rsid w:val="00B7373E"/>
    <w:rsid w:val="00B73A11"/>
    <w:rsid w:val="00B73B37"/>
    <w:rsid w:val="00B73BA4"/>
    <w:rsid w:val="00B73DC7"/>
    <w:rsid w:val="00B73E28"/>
    <w:rsid w:val="00B73F71"/>
    <w:rsid w:val="00B74007"/>
    <w:rsid w:val="00B74380"/>
    <w:rsid w:val="00B744AA"/>
    <w:rsid w:val="00B7479C"/>
    <w:rsid w:val="00B747E2"/>
    <w:rsid w:val="00B748F8"/>
    <w:rsid w:val="00B74B6A"/>
    <w:rsid w:val="00B74BBC"/>
    <w:rsid w:val="00B74E4C"/>
    <w:rsid w:val="00B74F13"/>
    <w:rsid w:val="00B74F3A"/>
    <w:rsid w:val="00B74F6F"/>
    <w:rsid w:val="00B750E5"/>
    <w:rsid w:val="00B75790"/>
    <w:rsid w:val="00B75966"/>
    <w:rsid w:val="00B75AA4"/>
    <w:rsid w:val="00B75AFD"/>
    <w:rsid w:val="00B75CE7"/>
    <w:rsid w:val="00B75D12"/>
    <w:rsid w:val="00B75D78"/>
    <w:rsid w:val="00B75F11"/>
    <w:rsid w:val="00B7603F"/>
    <w:rsid w:val="00B76117"/>
    <w:rsid w:val="00B764B1"/>
    <w:rsid w:val="00B7658A"/>
    <w:rsid w:val="00B76676"/>
    <w:rsid w:val="00B7680D"/>
    <w:rsid w:val="00B76BFD"/>
    <w:rsid w:val="00B76E7E"/>
    <w:rsid w:val="00B77877"/>
    <w:rsid w:val="00B7789F"/>
    <w:rsid w:val="00B77BDD"/>
    <w:rsid w:val="00B77C60"/>
    <w:rsid w:val="00B77D74"/>
    <w:rsid w:val="00B77D77"/>
    <w:rsid w:val="00B77ECA"/>
    <w:rsid w:val="00B77F43"/>
    <w:rsid w:val="00B801B8"/>
    <w:rsid w:val="00B8065F"/>
    <w:rsid w:val="00B80689"/>
    <w:rsid w:val="00B80AEB"/>
    <w:rsid w:val="00B80B01"/>
    <w:rsid w:val="00B80BC5"/>
    <w:rsid w:val="00B80C44"/>
    <w:rsid w:val="00B80C57"/>
    <w:rsid w:val="00B80DCF"/>
    <w:rsid w:val="00B8102A"/>
    <w:rsid w:val="00B81075"/>
    <w:rsid w:val="00B810C1"/>
    <w:rsid w:val="00B81305"/>
    <w:rsid w:val="00B81953"/>
    <w:rsid w:val="00B81AB6"/>
    <w:rsid w:val="00B81AE5"/>
    <w:rsid w:val="00B81EEA"/>
    <w:rsid w:val="00B81F71"/>
    <w:rsid w:val="00B82091"/>
    <w:rsid w:val="00B823B3"/>
    <w:rsid w:val="00B825ED"/>
    <w:rsid w:val="00B8261E"/>
    <w:rsid w:val="00B82764"/>
    <w:rsid w:val="00B82896"/>
    <w:rsid w:val="00B82BBB"/>
    <w:rsid w:val="00B82D5E"/>
    <w:rsid w:val="00B82E84"/>
    <w:rsid w:val="00B82EDF"/>
    <w:rsid w:val="00B82F64"/>
    <w:rsid w:val="00B832C6"/>
    <w:rsid w:val="00B83504"/>
    <w:rsid w:val="00B83642"/>
    <w:rsid w:val="00B836B8"/>
    <w:rsid w:val="00B836C1"/>
    <w:rsid w:val="00B83C49"/>
    <w:rsid w:val="00B8400C"/>
    <w:rsid w:val="00B845AC"/>
    <w:rsid w:val="00B8460F"/>
    <w:rsid w:val="00B848EE"/>
    <w:rsid w:val="00B84A6C"/>
    <w:rsid w:val="00B84A76"/>
    <w:rsid w:val="00B84AFF"/>
    <w:rsid w:val="00B84EA7"/>
    <w:rsid w:val="00B85359"/>
    <w:rsid w:val="00B854E1"/>
    <w:rsid w:val="00B854E2"/>
    <w:rsid w:val="00B85623"/>
    <w:rsid w:val="00B856B7"/>
    <w:rsid w:val="00B856E7"/>
    <w:rsid w:val="00B85843"/>
    <w:rsid w:val="00B8596E"/>
    <w:rsid w:val="00B85B28"/>
    <w:rsid w:val="00B85C30"/>
    <w:rsid w:val="00B85E44"/>
    <w:rsid w:val="00B85F14"/>
    <w:rsid w:val="00B860EF"/>
    <w:rsid w:val="00B862E8"/>
    <w:rsid w:val="00B86573"/>
    <w:rsid w:val="00B86690"/>
    <w:rsid w:val="00B86845"/>
    <w:rsid w:val="00B86A5D"/>
    <w:rsid w:val="00B86D5B"/>
    <w:rsid w:val="00B8701D"/>
    <w:rsid w:val="00B87104"/>
    <w:rsid w:val="00B8744E"/>
    <w:rsid w:val="00B87546"/>
    <w:rsid w:val="00B875A9"/>
    <w:rsid w:val="00B875CC"/>
    <w:rsid w:val="00B87643"/>
    <w:rsid w:val="00B877E7"/>
    <w:rsid w:val="00B87850"/>
    <w:rsid w:val="00B8785B"/>
    <w:rsid w:val="00B879A5"/>
    <w:rsid w:val="00B87AF3"/>
    <w:rsid w:val="00B87C34"/>
    <w:rsid w:val="00B87D29"/>
    <w:rsid w:val="00B87D81"/>
    <w:rsid w:val="00B87FCD"/>
    <w:rsid w:val="00B901A8"/>
    <w:rsid w:val="00B904D2"/>
    <w:rsid w:val="00B904DA"/>
    <w:rsid w:val="00B90509"/>
    <w:rsid w:val="00B905D0"/>
    <w:rsid w:val="00B906B2"/>
    <w:rsid w:val="00B90751"/>
    <w:rsid w:val="00B908E7"/>
    <w:rsid w:val="00B909D0"/>
    <w:rsid w:val="00B90A7E"/>
    <w:rsid w:val="00B90AEF"/>
    <w:rsid w:val="00B90BE6"/>
    <w:rsid w:val="00B90D84"/>
    <w:rsid w:val="00B90F0D"/>
    <w:rsid w:val="00B910B1"/>
    <w:rsid w:val="00B911D9"/>
    <w:rsid w:val="00B9125A"/>
    <w:rsid w:val="00B912B6"/>
    <w:rsid w:val="00B912FC"/>
    <w:rsid w:val="00B91380"/>
    <w:rsid w:val="00B9148C"/>
    <w:rsid w:val="00B915C2"/>
    <w:rsid w:val="00B91601"/>
    <w:rsid w:val="00B91682"/>
    <w:rsid w:val="00B91864"/>
    <w:rsid w:val="00B91A2F"/>
    <w:rsid w:val="00B91AAF"/>
    <w:rsid w:val="00B91B76"/>
    <w:rsid w:val="00B91BBF"/>
    <w:rsid w:val="00B91EF8"/>
    <w:rsid w:val="00B91F63"/>
    <w:rsid w:val="00B9232A"/>
    <w:rsid w:val="00B92414"/>
    <w:rsid w:val="00B9246E"/>
    <w:rsid w:val="00B924AD"/>
    <w:rsid w:val="00B9284B"/>
    <w:rsid w:val="00B92924"/>
    <w:rsid w:val="00B92976"/>
    <w:rsid w:val="00B92983"/>
    <w:rsid w:val="00B9299D"/>
    <w:rsid w:val="00B92A4A"/>
    <w:rsid w:val="00B92C8C"/>
    <w:rsid w:val="00B92CE8"/>
    <w:rsid w:val="00B933CC"/>
    <w:rsid w:val="00B9362A"/>
    <w:rsid w:val="00B937C8"/>
    <w:rsid w:val="00B9398E"/>
    <w:rsid w:val="00B939A5"/>
    <w:rsid w:val="00B93A87"/>
    <w:rsid w:val="00B93ADA"/>
    <w:rsid w:val="00B93C11"/>
    <w:rsid w:val="00B93C37"/>
    <w:rsid w:val="00B93D5F"/>
    <w:rsid w:val="00B9405C"/>
    <w:rsid w:val="00B942AB"/>
    <w:rsid w:val="00B94465"/>
    <w:rsid w:val="00B94592"/>
    <w:rsid w:val="00B9484F"/>
    <w:rsid w:val="00B94971"/>
    <w:rsid w:val="00B94D01"/>
    <w:rsid w:val="00B94D90"/>
    <w:rsid w:val="00B94DFD"/>
    <w:rsid w:val="00B95064"/>
    <w:rsid w:val="00B952E9"/>
    <w:rsid w:val="00B95754"/>
    <w:rsid w:val="00B9593C"/>
    <w:rsid w:val="00B95997"/>
    <w:rsid w:val="00B95C48"/>
    <w:rsid w:val="00B95C5C"/>
    <w:rsid w:val="00B962CC"/>
    <w:rsid w:val="00B962CD"/>
    <w:rsid w:val="00B962E2"/>
    <w:rsid w:val="00B9646A"/>
    <w:rsid w:val="00B9648C"/>
    <w:rsid w:val="00B9673E"/>
    <w:rsid w:val="00B969BB"/>
    <w:rsid w:val="00B969DB"/>
    <w:rsid w:val="00B96D09"/>
    <w:rsid w:val="00B96D14"/>
    <w:rsid w:val="00B96D9F"/>
    <w:rsid w:val="00B96F4B"/>
    <w:rsid w:val="00B96F57"/>
    <w:rsid w:val="00B96FD3"/>
    <w:rsid w:val="00B970B1"/>
    <w:rsid w:val="00B970F8"/>
    <w:rsid w:val="00B97155"/>
    <w:rsid w:val="00B973E7"/>
    <w:rsid w:val="00B9741A"/>
    <w:rsid w:val="00B974C4"/>
    <w:rsid w:val="00B97561"/>
    <w:rsid w:val="00B977FD"/>
    <w:rsid w:val="00B978EA"/>
    <w:rsid w:val="00B97BD4"/>
    <w:rsid w:val="00B97CB0"/>
    <w:rsid w:val="00B97DEC"/>
    <w:rsid w:val="00B97E2A"/>
    <w:rsid w:val="00BA0007"/>
    <w:rsid w:val="00BA024C"/>
    <w:rsid w:val="00BA0316"/>
    <w:rsid w:val="00BA0495"/>
    <w:rsid w:val="00BA04F7"/>
    <w:rsid w:val="00BA0677"/>
    <w:rsid w:val="00BA074F"/>
    <w:rsid w:val="00BA0842"/>
    <w:rsid w:val="00BA0952"/>
    <w:rsid w:val="00BA0BA0"/>
    <w:rsid w:val="00BA0F19"/>
    <w:rsid w:val="00BA0F2A"/>
    <w:rsid w:val="00BA1154"/>
    <w:rsid w:val="00BA1376"/>
    <w:rsid w:val="00BA1594"/>
    <w:rsid w:val="00BA1641"/>
    <w:rsid w:val="00BA173D"/>
    <w:rsid w:val="00BA1C78"/>
    <w:rsid w:val="00BA1CDA"/>
    <w:rsid w:val="00BA209D"/>
    <w:rsid w:val="00BA21CC"/>
    <w:rsid w:val="00BA2829"/>
    <w:rsid w:val="00BA2A4E"/>
    <w:rsid w:val="00BA2A9A"/>
    <w:rsid w:val="00BA2C28"/>
    <w:rsid w:val="00BA2D9D"/>
    <w:rsid w:val="00BA330E"/>
    <w:rsid w:val="00BA33CF"/>
    <w:rsid w:val="00BA34FB"/>
    <w:rsid w:val="00BA3591"/>
    <w:rsid w:val="00BA3BC8"/>
    <w:rsid w:val="00BA3DA5"/>
    <w:rsid w:val="00BA3E92"/>
    <w:rsid w:val="00BA3EAD"/>
    <w:rsid w:val="00BA3F42"/>
    <w:rsid w:val="00BA3FA6"/>
    <w:rsid w:val="00BA4102"/>
    <w:rsid w:val="00BA411C"/>
    <w:rsid w:val="00BA42FC"/>
    <w:rsid w:val="00BA45CD"/>
    <w:rsid w:val="00BA45DA"/>
    <w:rsid w:val="00BA499B"/>
    <w:rsid w:val="00BA49A5"/>
    <w:rsid w:val="00BA4A8E"/>
    <w:rsid w:val="00BA4BD8"/>
    <w:rsid w:val="00BA51ED"/>
    <w:rsid w:val="00BA52A4"/>
    <w:rsid w:val="00BA5395"/>
    <w:rsid w:val="00BA542F"/>
    <w:rsid w:val="00BA54E9"/>
    <w:rsid w:val="00BA553F"/>
    <w:rsid w:val="00BA56CF"/>
    <w:rsid w:val="00BA57A5"/>
    <w:rsid w:val="00BA57AC"/>
    <w:rsid w:val="00BA5838"/>
    <w:rsid w:val="00BA5C14"/>
    <w:rsid w:val="00BA5C66"/>
    <w:rsid w:val="00BA5E4E"/>
    <w:rsid w:val="00BA5E89"/>
    <w:rsid w:val="00BA618F"/>
    <w:rsid w:val="00BA622C"/>
    <w:rsid w:val="00BA626F"/>
    <w:rsid w:val="00BA65BF"/>
    <w:rsid w:val="00BA6AE5"/>
    <w:rsid w:val="00BA6F23"/>
    <w:rsid w:val="00BA7222"/>
    <w:rsid w:val="00BA728E"/>
    <w:rsid w:val="00BA7637"/>
    <w:rsid w:val="00BA780C"/>
    <w:rsid w:val="00BA7D04"/>
    <w:rsid w:val="00BA7D69"/>
    <w:rsid w:val="00BA7DBD"/>
    <w:rsid w:val="00BA7EBF"/>
    <w:rsid w:val="00BA7EED"/>
    <w:rsid w:val="00BB0453"/>
    <w:rsid w:val="00BB0749"/>
    <w:rsid w:val="00BB082F"/>
    <w:rsid w:val="00BB0B65"/>
    <w:rsid w:val="00BB0CE2"/>
    <w:rsid w:val="00BB0D5C"/>
    <w:rsid w:val="00BB115D"/>
    <w:rsid w:val="00BB1289"/>
    <w:rsid w:val="00BB12DD"/>
    <w:rsid w:val="00BB1334"/>
    <w:rsid w:val="00BB15B3"/>
    <w:rsid w:val="00BB161C"/>
    <w:rsid w:val="00BB16A8"/>
    <w:rsid w:val="00BB1B24"/>
    <w:rsid w:val="00BB1B48"/>
    <w:rsid w:val="00BB1D91"/>
    <w:rsid w:val="00BB20DC"/>
    <w:rsid w:val="00BB22C7"/>
    <w:rsid w:val="00BB25D6"/>
    <w:rsid w:val="00BB2766"/>
    <w:rsid w:val="00BB27F7"/>
    <w:rsid w:val="00BB2E0B"/>
    <w:rsid w:val="00BB2F44"/>
    <w:rsid w:val="00BB3042"/>
    <w:rsid w:val="00BB31D7"/>
    <w:rsid w:val="00BB331B"/>
    <w:rsid w:val="00BB34AB"/>
    <w:rsid w:val="00BB3A83"/>
    <w:rsid w:val="00BB3D3F"/>
    <w:rsid w:val="00BB3F07"/>
    <w:rsid w:val="00BB4102"/>
    <w:rsid w:val="00BB413C"/>
    <w:rsid w:val="00BB4340"/>
    <w:rsid w:val="00BB4431"/>
    <w:rsid w:val="00BB4484"/>
    <w:rsid w:val="00BB44FB"/>
    <w:rsid w:val="00BB4542"/>
    <w:rsid w:val="00BB4551"/>
    <w:rsid w:val="00BB47A2"/>
    <w:rsid w:val="00BB489B"/>
    <w:rsid w:val="00BB48CB"/>
    <w:rsid w:val="00BB4B3D"/>
    <w:rsid w:val="00BB4BE5"/>
    <w:rsid w:val="00BB512D"/>
    <w:rsid w:val="00BB5178"/>
    <w:rsid w:val="00BB51FD"/>
    <w:rsid w:val="00BB5279"/>
    <w:rsid w:val="00BB549A"/>
    <w:rsid w:val="00BB5665"/>
    <w:rsid w:val="00BB567F"/>
    <w:rsid w:val="00BB57D6"/>
    <w:rsid w:val="00BB5802"/>
    <w:rsid w:val="00BB5A70"/>
    <w:rsid w:val="00BB5B52"/>
    <w:rsid w:val="00BB61DC"/>
    <w:rsid w:val="00BB61ED"/>
    <w:rsid w:val="00BB6432"/>
    <w:rsid w:val="00BB66B9"/>
    <w:rsid w:val="00BB6796"/>
    <w:rsid w:val="00BB695B"/>
    <w:rsid w:val="00BB6991"/>
    <w:rsid w:val="00BB6A15"/>
    <w:rsid w:val="00BB6BDB"/>
    <w:rsid w:val="00BB6CEA"/>
    <w:rsid w:val="00BB6F8F"/>
    <w:rsid w:val="00BB753E"/>
    <w:rsid w:val="00BB7A2A"/>
    <w:rsid w:val="00BB7F54"/>
    <w:rsid w:val="00BC0151"/>
    <w:rsid w:val="00BC017A"/>
    <w:rsid w:val="00BC0642"/>
    <w:rsid w:val="00BC06D8"/>
    <w:rsid w:val="00BC0D8C"/>
    <w:rsid w:val="00BC0F00"/>
    <w:rsid w:val="00BC1149"/>
    <w:rsid w:val="00BC12F5"/>
    <w:rsid w:val="00BC14B5"/>
    <w:rsid w:val="00BC14DE"/>
    <w:rsid w:val="00BC163E"/>
    <w:rsid w:val="00BC17D4"/>
    <w:rsid w:val="00BC1B69"/>
    <w:rsid w:val="00BC1BB9"/>
    <w:rsid w:val="00BC1C1D"/>
    <w:rsid w:val="00BC1D70"/>
    <w:rsid w:val="00BC1E7B"/>
    <w:rsid w:val="00BC1E97"/>
    <w:rsid w:val="00BC1FCF"/>
    <w:rsid w:val="00BC220A"/>
    <w:rsid w:val="00BC24B7"/>
    <w:rsid w:val="00BC24CE"/>
    <w:rsid w:val="00BC2A8A"/>
    <w:rsid w:val="00BC2D42"/>
    <w:rsid w:val="00BC2E2A"/>
    <w:rsid w:val="00BC3020"/>
    <w:rsid w:val="00BC303D"/>
    <w:rsid w:val="00BC308E"/>
    <w:rsid w:val="00BC333C"/>
    <w:rsid w:val="00BC34EF"/>
    <w:rsid w:val="00BC3622"/>
    <w:rsid w:val="00BC3673"/>
    <w:rsid w:val="00BC37E9"/>
    <w:rsid w:val="00BC3AC0"/>
    <w:rsid w:val="00BC3ACB"/>
    <w:rsid w:val="00BC3B86"/>
    <w:rsid w:val="00BC3C29"/>
    <w:rsid w:val="00BC3F5F"/>
    <w:rsid w:val="00BC424F"/>
    <w:rsid w:val="00BC444C"/>
    <w:rsid w:val="00BC46DD"/>
    <w:rsid w:val="00BC474F"/>
    <w:rsid w:val="00BC4891"/>
    <w:rsid w:val="00BC49B9"/>
    <w:rsid w:val="00BC4B45"/>
    <w:rsid w:val="00BC4DBD"/>
    <w:rsid w:val="00BC4E21"/>
    <w:rsid w:val="00BC4E25"/>
    <w:rsid w:val="00BC4F13"/>
    <w:rsid w:val="00BC4F21"/>
    <w:rsid w:val="00BC514B"/>
    <w:rsid w:val="00BC5198"/>
    <w:rsid w:val="00BC5321"/>
    <w:rsid w:val="00BC54AA"/>
    <w:rsid w:val="00BC54E0"/>
    <w:rsid w:val="00BC5583"/>
    <w:rsid w:val="00BC55B1"/>
    <w:rsid w:val="00BC5707"/>
    <w:rsid w:val="00BC5709"/>
    <w:rsid w:val="00BC57F9"/>
    <w:rsid w:val="00BC5BF9"/>
    <w:rsid w:val="00BC5C00"/>
    <w:rsid w:val="00BC5DB5"/>
    <w:rsid w:val="00BC5FCB"/>
    <w:rsid w:val="00BC6120"/>
    <w:rsid w:val="00BC62BF"/>
    <w:rsid w:val="00BC64C6"/>
    <w:rsid w:val="00BC67B6"/>
    <w:rsid w:val="00BC6922"/>
    <w:rsid w:val="00BC6959"/>
    <w:rsid w:val="00BC6AA0"/>
    <w:rsid w:val="00BC6C7E"/>
    <w:rsid w:val="00BC6EDD"/>
    <w:rsid w:val="00BC706D"/>
    <w:rsid w:val="00BC7577"/>
    <w:rsid w:val="00BC7858"/>
    <w:rsid w:val="00BC7B2E"/>
    <w:rsid w:val="00BC7B8B"/>
    <w:rsid w:val="00BC7CAD"/>
    <w:rsid w:val="00BC7EC6"/>
    <w:rsid w:val="00BC7F18"/>
    <w:rsid w:val="00BC7F42"/>
    <w:rsid w:val="00BC7FEA"/>
    <w:rsid w:val="00BD028D"/>
    <w:rsid w:val="00BD0348"/>
    <w:rsid w:val="00BD064E"/>
    <w:rsid w:val="00BD094F"/>
    <w:rsid w:val="00BD0AFD"/>
    <w:rsid w:val="00BD0D02"/>
    <w:rsid w:val="00BD10C5"/>
    <w:rsid w:val="00BD14CB"/>
    <w:rsid w:val="00BD19D2"/>
    <w:rsid w:val="00BD1D48"/>
    <w:rsid w:val="00BD2137"/>
    <w:rsid w:val="00BD21D3"/>
    <w:rsid w:val="00BD24AB"/>
    <w:rsid w:val="00BD2734"/>
    <w:rsid w:val="00BD28AC"/>
    <w:rsid w:val="00BD28D2"/>
    <w:rsid w:val="00BD2A1F"/>
    <w:rsid w:val="00BD2C72"/>
    <w:rsid w:val="00BD2C89"/>
    <w:rsid w:val="00BD2D85"/>
    <w:rsid w:val="00BD2DE1"/>
    <w:rsid w:val="00BD2FF1"/>
    <w:rsid w:val="00BD322B"/>
    <w:rsid w:val="00BD32A3"/>
    <w:rsid w:val="00BD342E"/>
    <w:rsid w:val="00BD34C0"/>
    <w:rsid w:val="00BD3519"/>
    <w:rsid w:val="00BD3535"/>
    <w:rsid w:val="00BD36B9"/>
    <w:rsid w:val="00BD3730"/>
    <w:rsid w:val="00BD3BA6"/>
    <w:rsid w:val="00BD3ECC"/>
    <w:rsid w:val="00BD3F40"/>
    <w:rsid w:val="00BD3FE6"/>
    <w:rsid w:val="00BD4068"/>
    <w:rsid w:val="00BD4408"/>
    <w:rsid w:val="00BD4468"/>
    <w:rsid w:val="00BD450C"/>
    <w:rsid w:val="00BD470E"/>
    <w:rsid w:val="00BD4E71"/>
    <w:rsid w:val="00BD4EE2"/>
    <w:rsid w:val="00BD4F44"/>
    <w:rsid w:val="00BD513B"/>
    <w:rsid w:val="00BD51B8"/>
    <w:rsid w:val="00BD52C5"/>
    <w:rsid w:val="00BD548C"/>
    <w:rsid w:val="00BD5524"/>
    <w:rsid w:val="00BD55BA"/>
    <w:rsid w:val="00BD5627"/>
    <w:rsid w:val="00BD56E2"/>
    <w:rsid w:val="00BD5C44"/>
    <w:rsid w:val="00BD5E09"/>
    <w:rsid w:val="00BD5E70"/>
    <w:rsid w:val="00BD5FDC"/>
    <w:rsid w:val="00BD6020"/>
    <w:rsid w:val="00BD60AF"/>
    <w:rsid w:val="00BD6259"/>
    <w:rsid w:val="00BD630D"/>
    <w:rsid w:val="00BD63D9"/>
    <w:rsid w:val="00BD64BB"/>
    <w:rsid w:val="00BD65A2"/>
    <w:rsid w:val="00BD65DA"/>
    <w:rsid w:val="00BD68A5"/>
    <w:rsid w:val="00BD6E80"/>
    <w:rsid w:val="00BD6F79"/>
    <w:rsid w:val="00BD754E"/>
    <w:rsid w:val="00BD7811"/>
    <w:rsid w:val="00BD7927"/>
    <w:rsid w:val="00BD79DB"/>
    <w:rsid w:val="00BD79E9"/>
    <w:rsid w:val="00BD7AB4"/>
    <w:rsid w:val="00BD7CA9"/>
    <w:rsid w:val="00BD7D04"/>
    <w:rsid w:val="00BD7E0F"/>
    <w:rsid w:val="00BD7E51"/>
    <w:rsid w:val="00BD7E57"/>
    <w:rsid w:val="00BE0088"/>
    <w:rsid w:val="00BE0253"/>
    <w:rsid w:val="00BE06A9"/>
    <w:rsid w:val="00BE06ED"/>
    <w:rsid w:val="00BE0770"/>
    <w:rsid w:val="00BE09E1"/>
    <w:rsid w:val="00BE0E17"/>
    <w:rsid w:val="00BE0E3C"/>
    <w:rsid w:val="00BE0E4B"/>
    <w:rsid w:val="00BE11CC"/>
    <w:rsid w:val="00BE1340"/>
    <w:rsid w:val="00BE1628"/>
    <w:rsid w:val="00BE1876"/>
    <w:rsid w:val="00BE187A"/>
    <w:rsid w:val="00BE1952"/>
    <w:rsid w:val="00BE1A50"/>
    <w:rsid w:val="00BE1BCA"/>
    <w:rsid w:val="00BE1E3B"/>
    <w:rsid w:val="00BE2017"/>
    <w:rsid w:val="00BE2036"/>
    <w:rsid w:val="00BE22CB"/>
    <w:rsid w:val="00BE236F"/>
    <w:rsid w:val="00BE2A46"/>
    <w:rsid w:val="00BE2A70"/>
    <w:rsid w:val="00BE2B4B"/>
    <w:rsid w:val="00BE2B5D"/>
    <w:rsid w:val="00BE2CF9"/>
    <w:rsid w:val="00BE3848"/>
    <w:rsid w:val="00BE4601"/>
    <w:rsid w:val="00BE4605"/>
    <w:rsid w:val="00BE4AD7"/>
    <w:rsid w:val="00BE4B3D"/>
    <w:rsid w:val="00BE4D11"/>
    <w:rsid w:val="00BE4D72"/>
    <w:rsid w:val="00BE4D94"/>
    <w:rsid w:val="00BE4EBA"/>
    <w:rsid w:val="00BE5205"/>
    <w:rsid w:val="00BE52BE"/>
    <w:rsid w:val="00BE5304"/>
    <w:rsid w:val="00BE5378"/>
    <w:rsid w:val="00BE54A8"/>
    <w:rsid w:val="00BE571E"/>
    <w:rsid w:val="00BE585A"/>
    <w:rsid w:val="00BE5A7D"/>
    <w:rsid w:val="00BE5B1C"/>
    <w:rsid w:val="00BE5CA1"/>
    <w:rsid w:val="00BE5DDB"/>
    <w:rsid w:val="00BE6002"/>
    <w:rsid w:val="00BE617C"/>
    <w:rsid w:val="00BE6469"/>
    <w:rsid w:val="00BE6470"/>
    <w:rsid w:val="00BE657C"/>
    <w:rsid w:val="00BE66A9"/>
    <w:rsid w:val="00BE6821"/>
    <w:rsid w:val="00BE69ED"/>
    <w:rsid w:val="00BE6C87"/>
    <w:rsid w:val="00BE6CED"/>
    <w:rsid w:val="00BE6E7E"/>
    <w:rsid w:val="00BE73B8"/>
    <w:rsid w:val="00BE75FB"/>
    <w:rsid w:val="00BE77B3"/>
    <w:rsid w:val="00BE7854"/>
    <w:rsid w:val="00BE7C22"/>
    <w:rsid w:val="00BE7D4F"/>
    <w:rsid w:val="00BE7F62"/>
    <w:rsid w:val="00BE7FF9"/>
    <w:rsid w:val="00BF01EC"/>
    <w:rsid w:val="00BF033B"/>
    <w:rsid w:val="00BF0455"/>
    <w:rsid w:val="00BF04B9"/>
    <w:rsid w:val="00BF04FA"/>
    <w:rsid w:val="00BF054C"/>
    <w:rsid w:val="00BF08E3"/>
    <w:rsid w:val="00BF0A5B"/>
    <w:rsid w:val="00BF0B33"/>
    <w:rsid w:val="00BF0BB8"/>
    <w:rsid w:val="00BF0C60"/>
    <w:rsid w:val="00BF0DAE"/>
    <w:rsid w:val="00BF0DB8"/>
    <w:rsid w:val="00BF1194"/>
    <w:rsid w:val="00BF11B8"/>
    <w:rsid w:val="00BF1331"/>
    <w:rsid w:val="00BF13F3"/>
    <w:rsid w:val="00BF153C"/>
    <w:rsid w:val="00BF15EA"/>
    <w:rsid w:val="00BF177A"/>
    <w:rsid w:val="00BF1A23"/>
    <w:rsid w:val="00BF1A5B"/>
    <w:rsid w:val="00BF1B90"/>
    <w:rsid w:val="00BF1F07"/>
    <w:rsid w:val="00BF1FA5"/>
    <w:rsid w:val="00BF2025"/>
    <w:rsid w:val="00BF2026"/>
    <w:rsid w:val="00BF2301"/>
    <w:rsid w:val="00BF2462"/>
    <w:rsid w:val="00BF2687"/>
    <w:rsid w:val="00BF2CD2"/>
    <w:rsid w:val="00BF30D4"/>
    <w:rsid w:val="00BF313B"/>
    <w:rsid w:val="00BF33E3"/>
    <w:rsid w:val="00BF344F"/>
    <w:rsid w:val="00BF3566"/>
    <w:rsid w:val="00BF3579"/>
    <w:rsid w:val="00BF36AB"/>
    <w:rsid w:val="00BF3779"/>
    <w:rsid w:val="00BF3881"/>
    <w:rsid w:val="00BF39F3"/>
    <w:rsid w:val="00BF3C49"/>
    <w:rsid w:val="00BF3C7B"/>
    <w:rsid w:val="00BF3D9B"/>
    <w:rsid w:val="00BF410E"/>
    <w:rsid w:val="00BF4116"/>
    <w:rsid w:val="00BF41CB"/>
    <w:rsid w:val="00BF4379"/>
    <w:rsid w:val="00BF447D"/>
    <w:rsid w:val="00BF46FD"/>
    <w:rsid w:val="00BF4708"/>
    <w:rsid w:val="00BF4753"/>
    <w:rsid w:val="00BF4856"/>
    <w:rsid w:val="00BF485A"/>
    <w:rsid w:val="00BF4A31"/>
    <w:rsid w:val="00BF4B66"/>
    <w:rsid w:val="00BF4DAD"/>
    <w:rsid w:val="00BF4E3C"/>
    <w:rsid w:val="00BF50AF"/>
    <w:rsid w:val="00BF5117"/>
    <w:rsid w:val="00BF5184"/>
    <w:rsid w:val="00BF524A"/>
    <w:rsid w:val="00BF5306"/>
    <w:rsid w:val="00BF552C"/>
    <w:rsid w:val="00BF55E4"/>
    <w:rsid w:val="00BF57DA"/>
    <w:rsid w:val="00BF5DAC"/>
    <w:rsid w:val="00BF5E11"/>
    <w:rsid w:val="00BF5E6E"/>
    <w:rsid w:val="00BF6036"/>
    <w:rsid w:val="00BF626E"/>
    <w:rsid w:val="00BF62D1"/>
    <w:rsid w:val="00BF646A"/>
    <w:rsid w:val="00BF69B4"/>
    <w:rsid w:val="00BF6CE6"/>
    <w:rsid w:val="00BF6D8B"/>
    <w:rsid w:val="00BF6F26"/>
    <w:rsid w:val="00BF6F2F"/>
    <w:rsid w:val="00BF7044"/>
    <w:rsid w:val="00BF7059"/>
    <w:rsid w:val="00BF71CA"/>
    <w:rsid w:val="00BF74DB"/>
    <w:rsid w:val="00BF74DE"/>
    <w:rsid w:val="00BF750A"/>
    <w:rsid w:val="00BF752E"/>
    <w:rsid w:val="00BF76F9"/>
    <w:rsid w:val="00BF7BF9"/>
    <w:rsid w:val="00BF7D55"/>
    <w:rsid w:val="00BF7D73"/>
    <w:rsid w:val="00BF7F4F"/>
    <w:rsid w:val="00C006A1"/>
    <w:rsid w:val="00C0080C"/>
    <w:rsid w:val="00C00C21"/>
    <w:rsid w:val="00C011C7"/>
    <w:rsid w:val="00C0120B"/>
    <w:rsid w:val="00C01220"/>
    <w:rsid w:val="00C017A6"/>
    <w:rsid w:val="00C019D7"/>
    <w:rsid w:val="00C01A35"/>
    <w:rsid w:val="00C01A3F"/>
    <w:rsid w:val="00C01AA5"/>
    <w:rsid w:val="00C01B8B"/>
    <w:rsid w:val="00C021FE"/>
    <w:rsid w:val="00C0232C"/>
    <w:rsid w:val="00C024C5"/>
    <w:rsid w:val="00C029C9"/>
    <w:rsid w:val="00C02C30"/>
    <w:rsid w:val="00C03192"/>
    <w:rsid w:val="00C0352A"/>
    <w:rsid w:val="00C03576"/>
    <w:rsid w:val="00C03686"/>
    <w:rsid w:val="00C03912"/>
    <w:rsid w:val="00C03923"/>
    <w:rsid w:val="00C03961"/>
    <w:rsid w:val="00C03AF4"/>
    <w:rsid w:val="00C03C54"/>
    <w:rsid w:val="00C03F4D"/>
    <w:rsid w:val="00C03F6B"/>
    <w:rsid w:val="00C043CF"/>
    <w:rsid w:val="00C04785"/>
    <w:rsid w:val="00C04908"/>
    <w:rsid w:val="00C05297"/>
    <w:rsid w:val="00C05375"/>
    <w:rsid w:val="00C0565B"/>
    <w:rsid w:val="00C0573E"/>
    <w:rsid w:val="00C05754"/>
    <w:rsid w:val="00C05B27"/>
    <w:rsid w:val="00C05C65"/>
    <w:rsid w:val="00C05CDB"/>
    <w:rsid w:val="00C05EB9"/>
    <w:rsid w:val="00C06008"/>
    <w:rsid w:val="00C0674C"/>
    <w:rsid w:val="00C067C6"/>
    <w:rsid w:val="00C0694A"/>
    <w:rsid w:val="00C06BFA"/>
    <w:rsid w:val="00C06DBA"/>
    <w:rsid w:val="00C06E61"/>
    <w:rsid w:val="00C06F32"/>
    <w:rsid w:val="00C071D2"/>
    <w:rsid w:val="00C07598"/>
    <w:rsid w:val="00C07833"/>
    <w:rsid w:val="00C078DD"/>
    <w:rsid w:val="00C07968"/>
    <w:rsid w:val="00C10511"/>
    <w:rsid w:val="00C10881"/>
    <w:rsid w:val="00C10930"/>
    <w:rsid w:val="00C10A1B"/>
    <w:rsid w:val="00C10C8C"/>
    <w:rsid w:val="00C10F09"/>
    <w:rsid w:val="00C10F9E"/>
    <w:rsid w:val="00C10FB2"/>
    <w:rsid w:val="00C11125"/>
    <w:rsid w:val="00C1127B"/>
    <w:rsid w:val="00C113F0"/>
    <w:rsid w:val="00C11578"/>
    <w:rsid w:val="00C11764"/>
    <w:rsid w:val="00C11830"/>
    <w:rsid w:val="00C11845"/>
    <w:rsid w:val="00C11A3E"/>
    <w:rsid w:val="00C11CCC"/>
    <w:rsid w:val="00C11CCE"/>
    <w:rsid w:val="00C11FB1"/>
    <w:rsid w:val="00C120DA"/>
    <w:rsid w:val="00C124B3"/>
    <w:rsid w:val="00C124F8"/>
    <w:rsid w:val="00C125A7"/>
    <w:rsid w:val="00C125D1"/>
    <w:rsid w:val="00C126BF"/>
    <w:rsid w:val="00C1281E"/>
    <w:rsid w:val="00C12A1E"/>
    <w:rsid w:val="00C12BB5"/>
    <w:rsid w:val="00C12F88"/>
    <w:rsid w:val="00C13089"/>
    <w:rsid w:val="00C13172"/>
    <w:rsid w:val="00C1354E"/>
    <w:rsid w:val="00C135D4"/>
    <w:rsid w:val="00C13678"/>
    <w:rsid w:val="00C13713"/>
    <w:rsid w:val="00C137FC"/>
    <w:rsid w:val="00C13C3B"/>
    <w:rsid w:val="00C14000"/>
    <w:rsid w:val="00C14026"/>
    <w:rsid w:val="00C1415F"/>
    <w:rsid w:val="00C141B2"/>
    <w:rsid w:val="00C14431"/>
    <w:rsid w:val="00C14A49"/>
    <w:rsid w:val="00C14A4E"/>
    <w:rsid w:val="00C14B69"/>
    <w:rsid w:val="00C14C7F"/>
    <w:rsid w:val="00C14ED2"/>
    <w:rsid w:val="00C14F5F"/>
    <w:rsid w:val="00C150C8"/>
    <w:rsid w:val="00C150D8"/>
    <w:rsid w:val="00C1518E"/>
    <w:rsid w:val="00C152BD"/>
    <w:rsid w:val="00C1530D"/>
    <w:rsid w:val="00C1562A"/>
    <w:rsid w:val="00C156ED"/>
    <w:rsid w:val="00C15709"/>
    <w:rsid w:val="00C1579C"/>
    <w:rsid w:val="00C15847"/>
    <w:rsid w:val="00C158A9"/>
    <w:rsid w:val="00C15E73"/>
    <w:rsid w:val="00C15F09"/>
    <w:rsid w:val="00C1612B"/>
    <w:rsid w:val="00C161BA"/>
    <w:rsid w:val="00C162F6"/>
    <w:rsid w:val="00C1675F"/>
    <w:rsid w:val="00C16852"/>
    <w:rsid w:val="00C169B6"/>
    <w:rsid w:val="00C16A13"/>
    <w:rsid w:val="00C16A1B"/>
    <w:rsid w:val="00C16A91"/>
    <w:rsid w:val="00C16B28"/>
    <w:rsid w:val="00C16BDF"/>
    <w:rsid w:val="00C16EC8"/>
    <w:rsid w:val="00C17024"/>
    <w:rsid w:val="00C173BD"/>
    <w:rsid w:val="00C1742D"/>
    <w:rsid w:val="00C17615"/>
    <w:rsid w:val="00C17632"/>
    <w:rsid w:val="00C17969"/>
    <w:rsid w:val="00C179CB"/>
    <w:rsid w:val="00C17A47"/>
    <w:rsid w:val="00C17AC2"/>
    <w:rsid w:val="00C17AE8"/>
    <w:rsid w:val="00C17E2A"/>
    <w:rsid w:val="00C17F02"/>
    <w:rsid w:val="00C200DD"/>
    <w:rsid w:val="00C20111"/>
    <w:rsid w:val="00C2050F"/>
    <w:rsid w:val="00C205A2"/>
    <w:rsid w:val="00C2061D"/>
    <w:rsid w:val="00C206CB"/>
    <w:rsid w:val="00C20725"/>
    <w:rsid w:val="00C2075B"/>
    <w:rsid w:val="00C20858"/>
    <w:rsid w:val="00C20866"/>
    <w:rsid w:val="00C20948"/>
    <w:rsid w:val="00C20B65"/>
    <w:rsid w:val="00C20BA4"/>
    <w:rsid w:val="00C20D91"/>
    <w:rsid w:val="00C20ED9"/>
    <w:rsid w:val="00C20FA5"/>
    <w:rsid w:val="00C21599"/>
    <w:rsid w:val="00C215F0"/>
    <w:rsid w:val="00C216F8"/>
    <w:rsid w:val="00C217FF"/>
    <w:rsid w:val="00C218FC"/>
    <w:rsid w:val="00C21B06"/>
    <w:rsid w:val="00C21CB4"/>
    <w:rsid w:val="00C21D9D"/>
    <w:rsid w:val="00C21EE6"/>
    <w:rsid w:val="00C21F05"/>
    <w:rsid w:val="00C21F62"/>
    <w:rsid w:val="00C2203C"/>
    <w:rsid w:val="00C2211D"/>
    <w:rsid w:val="00C22179"/>
    <w:rsid w:val="00C22279"/>
    <w:rsid w:val="00C22938"/>
    <w:rsid w:val="00C22ABE"/>
    <w:rsid w:val="00C22AFD"/>
    <w:rsid w:val="00C22CEB"/>
    <w:rsid w:val="00C22F7D"/>
    <w:rsid w:val="00C23053"/>
    <w:rsid w:val="00C233E5"/>
    <w:rsid w:val="00C237F8"/>
    <w:rsid w:val="00C23890"/>
    <w:rsid w:val="00C238AF"/>
    <w:rsid w:val="00C23B21"/>
    <w:rsid w:val="00C2421E"/>
    <w:rsid w:val="00C242E2"/>
    <w:rsid w:val="00C24590"/>
    <w:rsid w:val="00C24721"/>
    <w:rsid w:val="00C2474A"/>
    <w:rsid w:val="00C24C54"/>
    <w:rsid w:val="00C24C78"/>
    <w:rsid w:val="00C24FBB"/>
    <w:rsid w:val="00C25112"/>
    <w:rsid w:val="00C25523"/>
    <w:rsid w:val="00C25702"/>
    <w:rsid w:val="00C257B4"/>
    <w:rsid w:val="00C25C78"/>
    <w:rsid w:val="00C25CBB"/>
    <w:rsid w:val="00C25F40"/>
    <w:rsid w:val="00C25FF9"/>
    <w:rsid w:val="00C26295"/>
    <w:rsid w:val="00C2651C"/>
    <w:rsid w:val="00C2669D"/>
    <w:rsid w:val="00C26795"/>
    <w:rsid w:val="00C267BF"/>
    <w:rsid w:val="00C267EE"/>
    <w:rsid w:val="00C267FA"/>
    <w:rsid w:val="00C269AC"/>
    <w:rsid w:val="00C26A2A"/>
    <w:rsid w:val="00C26B0B"/>
    <w:rsid w:val="00C26C29"/>
    <w:rsid w:val="00C26D12"/>
    <w:rsid w:val="00C26E8E"/>
    <w:rsid w:val="00C270F6"/>
    <w:rsid w:val="00C27237"/>
    <w:rsid w:val="00C2757A"/>
    <w:rsid w:val="00C27628"/>
    <w:rsid w:val="00C276AD"/>
    <w:rsid w:val="00C27709"/>
    <w:rsid w:val="00C27827"/>
    <w:rsid w:val="00C278CB"/>
    <w:rsid w:val="00C27B9B"/>
    <w:rsid w:val="00C27F34"/>
    <w:rsid w:val="00C27F78"/>
    <w:rsid w:val="00C27F8A"/>
    <w:rsid w:val="00C301DD"/>
    <w:rsid w:val="00C30211"/>
    <w:rsid w:val="00C302CA"/>
    <w:rsid w:val="00C3055C"/>
    <w:rsid w:val="00C3065B"/>
    <w:rsid w:val="00C30784"/>
    <w:rsid w:val="00C30855"/>
    <w:rsid w:val="00C30D56"/>
    <w:rsid w:val="00C30E1C"/>
    <w:rsid w:val="00C30F31"/>
    <w:rsid w:val="00C3105A"/>
    <w:rsid w:val="00C31099"/>
    <w:rsid w:val="00C31197"/>
    <w:rsid w:val="00C313C7"/>
    <w:rsid w:val="00C314C6"/>
    <w:rsid w:val="00C31586"/>
    <w:rsid w:val="00C31867"/>
    <w:rsid w:val="00C31B05"/>
    <w:rsid w:val="00C31D36"/>
    <w:rsid w:val="00C32080"/>
    <w:rsid w:val="00C3221E"/>
    <w:rsid w:val="00C324E5"/>
    <w:rsid w:val="00C32A06"/>
    <w:rsid w:val="00C32BFB"/>
    <w:rsid w:val="00C32D65"/>
    <w:rsid w:val="00C32E46"/>
    <w:rsid w:val="00C33116"/>
    <w:rsid w:val="00C33356"/>
    <w:rsid w:val="00C3371B"/>
    <w:rsid w:val="00C33759"/>
    <w:rsid w:val="00C3376D"/>
    <w:rsid w:val="00C33913"/>
    <w:rsid w:val="00C33AE9"/>
    <w:rsid w:val="00C33B2A"/>
    <w:rsid w:val="00C33BEA"/>
    <w:rsid w:val="00C33CC9"/>
    <w:rsid w:val="00C33F33"/>
    <w:rsid w:val="00C3409C"/>
    <w:rsid w:val="00C341B5"/>
    <w:rsid w:val="00C341F6"/>
    <w:rsid w:val="00C34298"/>
    <w:rsid w:val="00C342A5"/>
    <w:rsid w:val="00C3430F"/>
    <w:rsid w:val="00C345C3"/>
    <w:rsid w:val="00C346AE"/>
    <w:rsid w:val="00C3478D"/>
    <w:rsid w:val="00C34997"/>
    <w:rsid w:val="00C349BB"/>
    <w:rsid w:val="00C34CEA"/>
    <w:rsid w:val="00C34EE0"/>
    <w:rsid w:val="00C34EFA"/>
    <w:rsid w:val="00C34F62"/>
    <w:rsid w:val="00C34F65"/>
    <w:rsid w:val="00C35092"/>
    <w:rsid w:val="00C352DE"/>
    <w:rsid w:val="00C3535A"/>
    <w:rsid w:val="00C35760"/>
    <w:rsid w:val="00C359DA"/>
    <w:rsid w:val="00C35C19"/>
    <w:rsid w:val="00C35D1F"/>
    <w:rsid w:val="00C35D89"/>
    <w:rsid w:val="00C35F04"/>
    <w:rsid w:val="00C36126"/>
    <w:rsid w:val="00C36284"/>
    <w:rsid w:val="00C362D2"/>
    <w:rsid w:val="00C36400"/>
    <w:rsid w:val="00C364C2"/>
    <w:rsid w:val="00C3680E"/>
    <w:rsid w:val="00C36ADF"/>
    <w:rsid w:val="00C36BA0"/>
    <w:rsid w:val="00C36C8B"/>
    <w:rsid w:val="00C36EC4"/>
    <w:rsid w:val="00C3732E"/>
    <w:rsid w:val="00C3756B"/>
    <w:rsid w:val="00C375FD"/>
    <w:rsid w:val="00C3789A"/>
    <w:rsid w:val="00C37EB5"/>
    <w:rsid w:val="00C37F88"/>
    <w:rsid w:val="00C37FDD"/>
    <w:rsid w:val="00C400AD"/>
    <w:rsid w:val="00C40282"/>
    <w:rsid w:val="00C403C8"/>
    <w:rsid w:val="00C4091C"/>
    <w:rsid w:val="00C40AD4"/>
    <w:rsid w:val="00C40B09"/>
    <w:rsid w:val="00C40BF4"/>
    <w:rsid w:val="00C40E06"/>
    <w:rsid w:val="00C40F66"/>
    <w:rsid w:val="00C410BA"/>
    <w:rsid w:val="00C4116E"/>
    <w:rsid w:val="00C41441"/>
    <w:rsid w:val="00C419D8"/>
    <w:rsid w:val="00C41AE5"/>
    <w:rsid w:val="00C41B6C"/>
    <w:rsid w:val="00C41B7F"/>
    <w:rsid w:val="00C41C4A"/>
    <w:rsid w:val="00C41DC9"/>
    <w:rsid w:val="00C42016"/>
    <w:rsid w:val="00C421D0"/>
    <w:rsid w:val="00C428F8"/>
    <w:rsid w:val="00C42A27"/>
    <w:rsid w:val="00C42B41"/>
    <w:rsid w:val="00C42CCF"/>
    <w:rsid w:val="00C42D78"/>
    <w:rsid w:val="00C42DBB"/>
    <w:rsid w:val="00C42DDF"/>
    <w:rsid w:val="00C4319E"/>
    <w:rsid w:val="00C431B3"/>
    <w:rsid w:val="00C43207"/>
    <w:rsid w:val="00C43247"/>
    <w:rsid w:val="00C435E8"/>
    <w:rsid w:val="00C4379C"/>
    <w:rsid w:val="00C438D0"/>
    <w:rsid w:val="00C43B57"/>
    <w:rsid w:val="00C43E65"/>
    <w:rsid w:val="00C43F52"/>
    <w:rsid w:val="00C44016"/>
    <w:rsid w:val="00C44280"/>
    <w:rsid w:val="00C443EB"/>
    <w:rsid w:val="00C44438"/>
    <w:rsid w:val="00C446C6"/>
    <w:rsid w:val="00C449BF"/>
    <w:rsid w:val="00C4503B"/>
    <w:rsid w:val="00C45062"/>
    <w:rsid w:val="00C451B5"/>
    <w:rsid w:val="00C458C2"/>
    <w:rsid w:val="00C45927"/>
    <w:rsid w:val="00C45A1A"/>
    <w:rsid w:val="00C45B22"/>
    <w:rsid w:val="00C45C92"/>
    <w:rsid w:val="00C4609B"/>
    <w:rsid w:val="00C46260"/>
    <w:rsid w:val="00C4631E"/>
    <w:rsid w:val="00C464A8"/>
    <w:rsid w:val="00C464BD"/>
    <w:rsid w:val="00C46629"/>
    <w:rsid w:val="00C46696"/>
    <w:rsid w:val="00C468A2"/>
    <w:rsid w:val="00C469A8"/>
    <w:rsid w:val="00C469BF"/>
    <w:rsid w:val="00C46BC9"/>
    <w:rsid w:val="00C46CE9"/>
    <w:rsid w:val="00C46FFE"/>
    <w:rsid w:val="00C4703C"/>
    <w:rsid w:val="00C470AE"/>
    <w:rsid w:val="00C47171"/>
    <w:rsid w:val="00C47463"/>
    <w:rsid w:val="00C478D0"/>
    <w:rsid w:val="00C479B6"/>
    <w:rsid w:val="00C47BDC"/>
    <w:rsid w:val="00C47D87"/>
    <w:rsid w:val="00C47E1A"/>
    <w:rsid w:val="00C47FC3"/>
    <w:rsid w:val="00C50065"/>
    <w:rsid w:val="00C50069"/>
    <w:rsid w:val="00C501D8"/>
    <w:rsid w:val="00C50214"/>
    <w:rsid w:val="00C50262"/>
    <w:rsid w:val="00C50390"/>
    <w:rsid w:val="00C50584"/>
    <w:rsid w:val="00C505DC"/>
    <w:rsid w:val="00C50961"/>
    <w:rsid w:val="00C50A11"/>
    <w:rsid w:val="00C50E7E"/>
    <w:rsid w:val="00C50F0E"/>
    <w:rsid w:val="00C511FF"/>
    <w:rsid w:val="00C517D9"/>
    <w:rsid w:val="00C51AB6"/>
    <w:rsid w:val="00C51AB8"/>
    <w:rsid w:val="00C51BD6"/>
    <w:rsid w:val="00C51D97"/>
    <w:rsid w:val="00C51FAF"/>
    <w:rsid w:val="00C52050"/>
    <w:rsid w:val="00C520B4"/>
    <w:rsid w:val="00C5221E"/>
    <w:rsid w:val="00C5245B"/>
    <w:rsid w:val="00C52567"/>
    <w:rsid w:val="00C526D3"/>
    <w:rsid w:val="00C52740"/>
    <w:rsid w:val="00C5293E"/>
    <w:rsid w:val="00C5296C"/>
    <w:rsid w:val="00C52B00"/>
    <w:rsid w:val="00C52E9E"/>
    <w:rsid w:val="00C52F80"/>
    <w:rsid w:val="00C53109"/>
    <w:rsid w:val="00C535FD"/>
    <w:rsid w:val="00C5360D"/>
    <w:rsid w:val="00C53625"/>
    <w:rsid w:val="00C53718"/>
    <w:rsid w:val="00C53A9F"/>
    <w:rsid w:val="00C53BC7"/>
    <w:rsid w:val="00C53C02"/>
    <w:rsid w:val="00C53CF7"/>
    <w:rsid w:val="00C53EE3"/>
    <w:rsid w:val="00C53FC2"/>
    <w:rsid w:val="00C54213"/>
    <w:rsid w:val="00C54460"/>
    <w:rsid w:val="00C5449F"/>
    <w:rsid w:val="00C54555"/>
    <w:rsid w:val="00C548BF"/>
    <w:rsid w:val="00C54926"/>
    <w:rsid w:val="00C54C53"/>
    <w:rsid w:val="00C54D8E"/>
    <w:rsid w:val="00C54E8A"/>
    <w:rsid w:val="00C55077"/>
    <w:rsid w:val="00C556ED"/>
    <w:rsid w:val="00C559D6"/>
    <w:rsid w:val="00C55A0F"/>
    <w:rsid w:val="00C55A9E"/>
    <w:rsid w:val="00C55D23"/>
    <w:rsid w:val="00C5605E"/>
    <w:rsid w:val="00C56228"/>
    <w:rsid w:val="00C566F4"/>
    <w:rsid w:val="00C56BA2"/>
    <w:rsid w:val="00C56D13"/>
    <w:rsid w:val="00C56D53"/>
    <w:rsid w:val="00C56DE2"/>
    <w:rsid w:val="00C56E87"/>
    <w:rsid w:val="00C56F16"/>
    <w:rsid w:val="00C571A5"/>
    <w:rsid w:val="00C57209"/>
    <w:rsid w:val="00C5727F"/>
    <w:rsid w:val="00C5732D"/>
    <w:rsid w:val="00C57478"/>
    <w:rsid w:val="00C57917"/>
    <w:rsid w:val="00C57A3D"/>
    <w:rsid w:val="00C57B46"/>
    <w:rsid w:val="00C57B73"/>
    <w:rsid w:val="00C57C9F"/>
    <w:rsid w:val="00C57CC8"/>
    <w:rsid w:val="00C57D33"/>
    <w:rsid w:val="00C57D50"/>
    <w:rsid w:val="00C57F06"/>
    <w:rsid w:val="00C6005A"/>
    <w:rsid w:val="00C6015C"/>
    <w:rsid w:val="00C60483"/>
    <w:rsid w:val="00C604A7"/>
    <w:rsid w:val="00C60500"/>
    <w:rsid w:val="00C6053A"/>
    <w:rsid w:val="00C605BA"/>
    <w:rsid w:val="00C60610"/>
    <w:rsid w:val="00C606F0"/>
    <w:rsid w:val="00C60736"/>
    <w:rsid w:val="00C60847"/>
    <w:rsid w:val="00C60B04"/>
    <w:rsid w:val="00C60B21"/>
    <w:rsid w:val="00C60C08"/>
    <w:rsid w:val="00C60D92"/>
    <w:rsid w:val="00C60F5D"/>
    <w:rsid w:val="00C60F63"/>
    <w:rsid w:val="00C610D2"/>
    <w:rsid w:val="00C61439"/>
    <w:rsid w:val="00C6149D"/>
    <w:rsid w:val="00C6149E"/>
    <w:rsid w:val="00C61981"/>
    <w:rsid w:val="00C61CB7"/>
    <w:rsid w:val="00C61D05"/>
    <w:rsid w:val="00C61D9D"/>
    <w:rsid w:val="00C620A0"/>
    <w:rsid w:val="00C620F6"/>
    <w:rsid w:val="00C621DF"/>
    <w:rsid w:val="00C622DB"/>
    <w:rsid w:val="00C6234D"/>
    <w:rsid w:val="00C6247D"/>
    <w:rsid w:val="00C62512"/>
    <w:rsid w:val="00C627FE"/>
    <w:rsid w:val="00C62AE5"/>
    <w:rsid w:val="00C62D5E"/>
    <w:rsid w:val="00C62D94"/>
    <w:rsid w:val="00C62EB6"/>
    <w:rsid w:val="00C63043"/>
    <w:rsid w:val="00C630B1"/>
    <w:rsid w:val="00C63164"/>
    <w:rsid w:val="00C6318D"/>
    <w:rsid w:val="00C631C0"/>
    <w:rsid w:val="00C63271"/>
    <w:rsid w:val="00C6331A"/>
    <w:rsid w:val="00C6343C"/>
    <w:rsid w:val="00C6373F"/>
    <w:rsid w:val="00C63BE0"/>
    <w:rsid w:val="00C63C2B"/>
    <w:rsid w:val="00C63CCA"/>
    <w:rsid w:val="00C63FCA"/>
    <w:rsid w:val="00C6405A"/>
    <w:rsid w:val="00C64101"/>
    <w:rsid w:val="00C64351"/>
    <w:rsid w:val="00C6446A"/>
    <w:rsid w:val="00C6469B"/>
    <w:rsid w:val="00C646A6"/>
    <w:rsid w:val="00C64BF4"/>
    <w:rsid w:val="00C64FB9"/>
    <w:rsid w:val="00C64FE0"/>
    <w:rsid w:val="00C65022"/>
    <w:rsid w:val="00C65561"/>
    <w:rsid w:val="00C65676"/>
    <w:rsid w:val="00C65684"/>
    <w:rsid w:val="00C657D8"/>
    <w:rsid w:val="00C658C9"/>
    <w:rsid w:val="00C65A05"/>
    <w:rsid w:val="00C65A34"/>
    <w:rsid w:val="00C65C73"/>
    <w:rsid w:val="00C65D18"/>
    <w:rsid w:val="00C65D7D"/>
    <w:rsid w:val="00C65FA4"/>
    <w:rsid w:val="00C662E1"/>
    <w:rsid w:val="00C666AB"/>
    <w:rsid w:val="00C666BC"/>
    <w:rsid w:val="00C66926"/>
    <w:rsid w:val="00C66A3F"/>
    <w:rsid w:val="00C66DFF"/>
    <w:rsid w:val="00C66EFC"/>
    <w:rsid w:val="00C66F33"/>
    <w:rsid w:val="00C66F46"/>
    <w:rsid w:val="00C67904"/>
    <w:rsid w:val="00C67962"/>
    <w:rsid w:val="00C67A36"/>
    <w:rsid w:val="00C67B5C"/>
    <w:rsid w:val="00C67BAF"/>
    <w:rsid w:val="00C67E09"/>
    <w:rsid w:val="00C67F36"/>
    <w:rsid w:val="00C70393"/>
    <w:rsid w:val="00C7044C"/>
    <w:rsid w:val="00C7088A"/>
    <w:rsid w:val="00C70E5F"/>
    <w:rsid w:val="00C71002"/>
    <w:rsid w:val="00C7108F"/>
    <w:rsid w:val="00C713C4"/>
    <w:rsid w:val="00C71765"/>
    <w:rsid w:val="00C719D5"/>
    <w:rsid w:val="00C71A44"/>
    <w:rsid w:val="00C71C4B"/>
    <w:rsid w:val="00C720C7"/>
    <w:rsid w:val="00C7221C"/>
    <w:rsid w:val="00C72295"/>
    <w:rsid w:val="00C72362"/>
    <w:rsid w:val="00C72553"/>
    <w:rsid w:val="00C72952"/>
    <w:rsid w:val="00C72C2E"/>
    <w:rsid w:val="00C72E82"/>
    <w:rsid w:val="00C72EAE"/>
    <w:rsid w:val="00C72FFB"/>
    <w:rsid w:val="00C73185"/>
    <w:rsid w:val="00C73441"/>
    <w:rsid w:val="00C7347A"/>
    <w:rsid w:val="00C7393C"/>
    <w:rsid w:val="00C7397A"/>
    <w:rsid w:val="00C73AF4"/>
    <w:rsid w:val="00C73BE6"/>
    <w:rsid w:val="00C73D2D"/>
    <w:rsid w:val="00C73DD5"/>
    <w:rsid w:val="00C73FF8"/>
    <w:rsid w:val="00C741A5"/>
    <w:rsid w:val="00C743A1"/>
    <w:rsid w:val="00C743CE"/>
    <w:rsid w:val="00C743E0"/>
    <w:rsid w:val="00C745FF"/>
    <w:rsid w:val="00C747C1"/>
    <w:rsid w:val="00C74932"/>
    <w:rsid w:val="00C74A0B"/>
    <w:rsid w:val="00C74CFD"/>
    <w:rsid w:val="00C74D44"/>
    <w:rsid w:val="00C74E45"/>
    <w:rsid w:val="00C74E67"/>
    <w:rsid w:val="00C74F89"/>
    <w:rsid w:val="00C74FEA"/>
    <w:rsid w:val="00C751AA"/>
    <w:rsid w:val="00C751EF"/>
    <w:rsid w:val="00C753D1"/>
    <w:rsid w:val="00C754B0"/>
    <w:rsid w:val="00C75730"/>
    <w:rsid w:val="00C75825"/>
    <w:rsid w:val="00C75DCA"/>
    <w:rsid w:val="00C75E46"/>
    <w:rsid w:val="00C75FEA"/>
    <w:rsid w:val="00C763C5"/>
    <w:rsid w:val="00C763F9"/>
    <w:rsid w:val="00C76635"/>
    <w:rsid w:val="00C766F9"/>
    <w:rsid w:val="00C76829"/>
    <w:rsid w:val="00C76917"/>
    <w:rsid w:val="00C76D65"/>
    <w:rsid w:val="00C76D8D"/>
    <w:rsid w:val="00C77495"/>
    <w:rsid w:val="00C77715"/>
    <w:rsid w:val="00C777C3"/>
    <w:rsid w:val="00C77C2F"/>
    <w:rsid w:val="00C77C46"/>
    <w:rsid w:val="00C77D0F"/>
    <w:rsid w:val="00C80032"/>
    <w:rsid w:val="00C8009A"/>
    <w:rsid w:val="00C80200"/>
    <w:rsid w:val="00C80241"/>
    <w:rsid w:val="00C80458"/>
    <w:rsid w:val="00C804AD"/>
    <w:rsid w:val="00C80569"/>
    <w:rsid w:val="00C8072B"/>
    <w:rsid w:val="00C8095D"/>
    <w:rsid w:val="00C809B1"/>
    <w:rsid w:val="00C80A25"/>
    <w:rsid w:val="00C80A7D"/>
    <w:rsid w:val="00C80B02"/>
    <w:rsid w:val="00C80B0B"/>
    <w:rsid w:val="00C80EC6"/>
    <w:rsid w:val="00C811DA"/>
    <w:rsid w:val="00C813A6"/>
    <w:rsid w:val="00C814AA"/>
    <w:rsid w:val="00C81529"/>
    <w:rsid w:val="00C81544"/>
    <w:rsid w:val="00C81808"/>
    <w:rsid w:val="00C81829"/>
    <w:rsid w:val="00C81882"/>
    <w:rsid w:val="00C8190A"/>
    <w:rsid w:val="00C81928"/>
    <w:rsid w:val="00C8195E"/>
    <w:rsid w:val="00C81988"/>
    <w:rsid w:val="00C81BAB"/>
    <w:rsid w:val="00C81D61"/>
    <w:rsid w:val="00C81F9B"/>
    <w:rsid w:val="00C822BA"/>
    <w:rsid w:val="00C822C4"/>
    <w:rsid w:val="00C8243E"/>
    <w:rsid w:val="00C82662"/>
    <w:rsid w:val="00C8291C"/>
    <w:rsid w:val="00C829E7"/>
    <w:rsid w:val="00C82B6C"/>
    <w:rsid w:val="00C82C4A"/>
    <w:rsid w:val="00C82CE2"/>
    <w:rsid w:val="00C832D3"/>
    <w:rsid w:val="00C8331C"/>
    <w:rsid w:val="00C83370"/>
    <w:rsid w:val="00C835BB"/>
    <w:rsid w:val="00C83750"/>
    <w:rsid w:val="00C83A9F"/>
    <w:rsid w:val="00C83C98"/>
    <w:rsid w:val="00C83F00"/>
    <w:rsid w:val="00C83F84"/>
    <w:rsid w:val="00C84107"/>
    <w:rsid w:val="00C84160"/>
    <w:rsid w:val="00C84282"/>
    <w:rsid w:val="00C84769"/>
    <w:rsid w:val="00C849D8"/>
    <w:rsid w:val="00C84A0F"/>
    <w:rsid w:val="00C84B52"/>
    <w:rsid w:val="00C84C05"/>
    <w:rsid w:val="00C84C77"/>
    <w:rsid w:val="00C84C81"/>
    <w:rsid w:val="00C84D13"/>
    <w:rsid w:val="00C84DAE"/>
    <w:rsid w:val="00C85258"/>
    <w:rsid w:val="00C855F9"/>
    <w:rsid w:val="00C85899"/>
    <w:rsid w:val="00C85951"/>
    <w:rsid w:val="00C8595F"/>
    <w:rsid w:val="00C85D49"/>
    <w:rsid w:val="00C85DDE"/>
    <w:rsid w:val="00C85E0C"/>
    <w:rsid w:val="00C85FAD"/>
    <w:rsid w:val="00C860F5"/>
    <w:rsid w:val="00C86316"/>
    <w:rsid w:val="00C86515"/>
    <w:rsid w:val="00C86663"/>
    <w:rsid w:val="00C86783"/>
    <w:rsid w:val="00C868B7"/>
    <w:rsid w:val="00C86A0D"/>
    <w:rsid w:val="00C86E69"/>
    <w:rsid w:val="00C86E9C"/>
    <w:rsid w:val="00C870DD"/>
    <w:rsid w:val="00C872A5"/>
    <w:rsid w:val="00C872CA"/>
    <w:rsid w:val="00C8748D"/>
    <w:rsid w:val="00C876D1"/>
    <w:rsid w:val="00C877D7"/>
    <w:rsid w:val="00C87A41"/>
    <w:rsid w:val="00C87ADE"/>
    <w:rsid w:val="00C87C91"/>
    <w:rsid w:val="00C87CA4"/>
    <w:rsid w:val="00C87CC5"/>
    <w:rsid w:val="00C87D5A"/>
    <w:rsid w:val="00C87E0B"/>
    <w:rsid w:val="00C9050C"/>
    <w:rsid w:val="00C90522"/>
    <w:rsid w:val="00C9055B"/>
    <w:rsid w:val="00C90746"/>
    <w:rsid w:val="00C90AF6"/>
    <w:rsid w:val="00C90B78"/>
    <w:rsid w:val="00C90B7C"/>
    <w:rsid w:val="00C90BC9"/>
    <w:rsid w:val="00C90CF8"/>
    <w:rsid w:val="00C90D62"/>
    <w:rsid w:val="00C90E61"/>
    <w:rsid w:val="00C910E5"/>
    <w:rsid w:val="00C9152D"/>
    <w:rsid w:val="00C9163A"/>
    <w:rsid w:val="00C9182D"/>
    <w:rsid w:val="00C91AFE"/>
    <w:rsid w:val="00C91CAA"/>
    <w:rsid w:val="00C91F75"/>
    <w:rsid w:val="00C921D3"/>
    <w:rsid w:val="00C923F0"/>
    <w:rsid w:val="00C92794"/>
    <w:rsid w:val="00C92A83"/>
    <w:rsid w:val="00C92C7E"/>
    <w:rsid w:val="00C92D53"/>
    <w:rsid w:val="00C9305B"/>
    <w:rsid w:val="00C93266"/>
    <w:rsid w:val="00C93276"/>
    <w:rsid w:val="00C93370"/>
    <w:rsid w:val="00C93415"/>
    <w:rsid w:val="00C93530"/>
    <w:rsid w:val="00C93612"/>
    <w:rsid w:val="00C938BA"/>
    <w:rsid w:val="00C9390D"/>
    <w:rsid w:val="00C93A32"/>
    <w:rsid w:val="00C93C4A"/>
    <w:rsid w:val="00C93C63"/>
    <w:rsid w:val="00C93E2C"/>
    <w:rsid w:val="00C94133"/>
    <w:rsid w:val="00C944A5"/>
    <w:rsid w:val="00C94573"/>
    <w:rsid w:val="00C94605"/>
    <w:rsid w:val="00C9486E"/>
    <w:rsid w:val="00C9494B"/>
    <w:rsid w:val="00C94A3B"/>
    <w:rsid w:val="00C94B67"/>
    <w:rsid w:val="00C955E4"/>
    <w:rsid w:val="00C956E9"/>
    <w:rsid w:val="00C95999"/>
    <w:rsid w:val="00C95BD7"/>
    <w:rsid w:val="00C95EAD"/>
    <w:rsid w:val="00C95EEC"/>
    <w:rsid w:val="00C960C0"/>
    <w:rsid w:val="00C961D5"/>
    <w:rsid w:val="00C964B6"/>
    <w:rsid w:val="00C966DE"/>
    <w:rsid w:val="00C96A4A"/>
    <w:rsid w:val="00C96BF9"/>
    <w:rsid w:val="00C96E5D"/>
    <w:rsid w:val="00C970B4"/>
    <w:rsid w:val="00C97349"/>
    <w:rsid w:val="00C97477"/>
    <w:rsid w:val="00C97539"/>
    <w:rsid w:val="00C975BC"/>
    <w:rsid w:val="00C97755"/>
    <w:rsid w:val="00C97760"/>
    <w:rsid w:val="00C977C9"/>
    <w:rsid w:val="00C97843"/>
    <w:rsid w:val="00C978B1"/>
    <w:rsid w:val="00C97CDD"/>
    <w:rsid w:val="00C97D57"/>
    <w:rsid w:val="00C97DEE"/>
    <w:rsid w:val="00CA0022"/>
    <w:rsid w:val="00CA015C"/>
    <w:rsid w:val="00CA035B"/>
    <w:rsid w:val="00CA04D0"/>
    <w:rsid w:val="00CA0516"/>
    <w:rsid w:val="00CA05B3"/>
    <w:rsid w:val="00CA0823"/>
    <w:rsid w:val="00CA08A0"/>
    <w:rsid w:val="00CA09E3"/>
    <w:rsid w:val="00CA0A7B"/>
    <w:rsid w:val="00CA0ACA"/>
    <w:rsid w:val="00CA0B2A"/>
    <w:rsid w:val="00CA0B8A"/>
    <w:rsid w:val="00CA0D12"/>
    <w:rsid w:val="00CA0D52"/>
    <w:rsid w:val="00CA0EFE"/>
    <w:rsid w:val="00CA10AC"/>
    <w:rsid w:val="00CA121C"/>
    <w:rsid w:val="00CA1801"/>
    <w:rsid w:val="00CA1B27"/>
    <w:rsid w:val="00CA1B7F"/>
    <w:rsid w:val="00CA1DA0"/>
    <w:rsid w:val="00CA1DEF"/>
    <w:rsid w:val="00CA1DF3"/>
    <w:rsid w:val="00CA1E03"/>
    <w:rsid w:val="00CA1F08"/>
    <w:rsid w:val="00CA1F3B"/>
    <w:rsid w:val="00CA2371"/>
    <w:rsid w:val="00CA24D8"/>
    <w:rsid w:val="00CA27C4"/>
    <w:rsid w:val="00CA27E7"/>
    <w:rsid w:val="00CA2F0E"/>
    <w:rsid w:val="00CA3208"/>
    <w:rsid w:val="00CA3425"/>
    <w:rsid w:val="00CA35A9"/>
    <w:rsid w:val="00CA36A2"/>
    <w:rsid w:val="00CA379C"/>
    <w:rsid w:val="00CA38FF"/>
    <w:rsid w:val="00CA3970"/>
    <w:rsid w:val="00CA3B0F"/>
    <w:rsid w:val="00CA3BFD"/>
    <w:rsid w:val="00CA3DFA"/>
    <w:rsid w:val="00CA4032"/>
    <w:rsid w:val="00CA4279"/>
    <w:rsid w:val="00CA4395"/>
    <w:rsid w:val="00CA4878"/>
    <w:rsid w:val="00CA4A37"/>
    <w:rsid w:val="00CA4C09"/>
    <w:rsid w:val="00CA4EDE"/>
    <w:rsid w:val="00CA4F17"/>
    <w:rsid w:val="00CA4FC8"/>
    <w:rsid w:val="00CA5338"/>
    <w:rsid w:val="00CA5602"/>
    <w:rsid w:val="00CA5A50"/>
    <w:rsid w:val="00CA5AE8"/>
    <w:rsid w:val="00CA5F00"/>
    <w:rsid w:val="00CA5FA4"/>
    <w:rsid w:val="00CA5FE0"/>
    <w:rsid w:val="00CA61AA"/>
    <w:rsid w:val="00CA625E"/>
    <w:rsid w:val="00CA62B0"/>
    <w:rsid w:val="00CA62E1"/>
    <w:rsid w:val="00CA63D2"/>
    <w:rsid w:val="00CA6784"/>
    <w:rsid w:val="00CA69A1"/>
    <w:rsid w:val="00CA6ACA"/>
    <w:rsid w:val="00CA6D88"/>
    <w:rsid w:val="00CA7032"/>
    <w:rsid w:val="00CA713C"/>
    <w:rsid w:val="00CA7242"/>
    <w:rsid w:val="00CA769E"/>
    <w:rsid w:val="00CA775B"/>
    <w:rsid w:val="00CA780E"/>
    <w:rsid w:val="00CA78F3"/>
    <w:rsid w:val="00CA7D94"/>
    <w:rsid w:val="00CB00B0"/>
    <w:rsid w:val="00CB01D9"/>
    <w:rsid w:val="00CB01EB"/>
    <w:rsid w:val="00CB04BB"/>
    <w:rsid w:val="00CB04F1"/>
    <w:rsid w:val="00CB0576"/>
    <w:rsid w:val="00CB0898"/>
    <w:rsid w:val="00CB08A9"/>
    <w:rsid w:val="00CB0A06"/>
    <w:rsid w:val="00CB0CBD"/>
    <w:rsid w:val="00CB0F0D"/>
    <w:rsid w:val="00CB1039"/>
    <w:rsid w:val="00CB13D3"/>
    <w:rsid w:val="00CB149B"/>
    <w:rsid w:val="00CB156F"/>
    <w:rsid w:val="00CB1689"/>
    <w:rsid w:val="00CB16C1"/>
    <w:rsid w:val="00CB18B3"/>
    <w:rsid w:val="00CB1BA3"/>
    <w:rsid w:val="00CB1CEE"/>
    <w:rsid w:val="00CB21F7"/>
    <w:rsid w:val="00CB227F"/>
    <w:rsid w:val="00CB2542"/>
    <w:rsid w:val="00CB2602"/>
    <w:rsid w:val="00CB2609"/>
    <w:rsid w:val="00CB2719"/>
    <w:rsid w:val="00CB2778"/>
    <w:rsid w:val="00CB2ADF"/>
    <w:rsid w:val="00CB2E2A"/>
    <w:rsid w:val="00CB2FF2"/>
    <w:rsid w:val="00CB30AD"/>
    <w:rsid w:val="00CB33C1"/>
    <w:rsid w:val="00CB3407"/>
    <w:rsid w:val="00CB347E"/>
    <w:rsid w:val="00CB361E"/>
    <w:rsid w:val="00CB3665"/>
    <w:rsid w:val="00CB390C"/>
    <w:rsid w:val="00CB3CEC"/>
    <w:rsid w:val="00CB4081"/>
    <w:rsid w:val="00CB41D0"/>
    <w:rsid w:val="00CB4510"/>
    <w:rsid w:val="00CB4C3A"/>
    <w:rsid w:val="00CB4D31"/>
    <w:rsid w:val="00CB4E4F"/>
    <w:rsid w:val="00CB4EE2"/>
    <w:rsid w:val="00CB4F6F"/>
    <w:rsid w:val="00CB4FCF"/>
    <w:rsid w:val="00CB5201"/>
    <w:rsid w:val="00CB5224"/>
    <w:rsid w:val="00CB526B"/>
    <w:rsid w:val="00CB52AC"/>
    <w:rsid w:val="00CB55F9"/>
    <w:rsid w:val="00CB560B"/>
    <w:rsid w:val="00CB5767"/>
    <w:rsid w:val="00CB57DA"/>
    <w:rsid w:val="00CB587E"/>
    <w:rsid w:val="00CB58B8"/>
    <w:rsid w:val="00CB5BDB"/>
    <w:rsid w:val="00CB5D70"/>
    <w:rsid w:val="00CB5E02"/>
    <w:rsid w:val="00CB5E68"/>
    <w:rsid w:val="00CB605B"/>
    <w:rsid w:val="00CB618F"/>
    <w:rsid w:val="00CB621C"/>
    <w:rsid w:val="00CB648C"/>
    <w:rsid w:val="00CB696E"/>
    <w:rsid w:val="00CB70F4"/>
    <w:rsid w:val="00CB71A9"/>
    <w:rsid w:val="00CB7404"/>
    <w:rsid w:val="00CB7430"/>
    <w:rsid w:val="00CB75F6"/>
    <w:rsid w:val="00CB7786"/>
    <w:rsid w:val="00CB790D"/>
    <w:rsid w:val="00CB797A"/>
    <w:rsid w:val="00CB7B2A"/>
    <w:rsid w:val="00CB7C55"/>
    <w:rsid w:val="00CB7FDB"/>
    <w:rsid w:val="00CC000B"/>
    <w:rsid w:val="00CC0243"/>
    <w:rsid w:val="00CC0404"/>
    <w:rsid w:val="00CC054C"/>
    <w:rsid w:val="00CC0563"/>
    <w:rsid w:val="00CC05A0"/>
    <w:rsid w:val="00CC0617"/>
    <w:rsid w:val="00CC068D"/>
    <w:rsid w:val="00CC0A1D"/>
    <w:rsid w:val="00CC0A9B"/>
    <w:rsid w:val="00CC0B4A"/>
    <w:rsid w:val="00CC0BAF"/>
    <w:rsid w:val="00CC0FFD"/>
    <w:rsid w:val="00CC105F"/>
    <w:rsid w:val="00CC116E"/>
    <w:rsid w:val="00CC120E"/>
    <w:rsid w:val="00CC125A"/>
    <w:rsid w:val="00CC12D8"/>
    <w:rsid w:val="00CC1547"/>
    <w:rsid w:val="00CC1560"/>
    <w:rsid w:val="00CC16E6"/>
    <w:rsid w:val="00CC19C9"/>
    <w:rsid w:val="00CC1A82"/>
    <w:rsid w:val="00CC1A8D"/>
    <w:rsid w:val="00CC215C"/>
    <w:rsid w:val="00CC21D2"/>
    <w:rsid w:val="00CC2263"/>
    <w:rsid w:val="00CC245C"/>
    <w:rsid w:val="00CC29D4"/>
    <w:rsid w:val="00CC2C2C"/>
    <w:rsid w:val="00CC2C53"/>
    <w:rsid w:val="00CC2CE4"/>
    <w:rsid w:val="00CC2D6C"/>
    <w:rsid w:val="00CC2F52"/>
    <w:rsid w:val="00CC30E6"/>
    <w:rsid w:val="00CC311C"/>
    <w:rsid w:val="00CC31D1"/>
    <w:rsid w:val="00CC33B3"/>
    <w:rsid w:val="00CC33E8"/>
    <w:rsid w:val="00CC341A"/>
    <w:rsid w:val="00CC3720"/>
    <w:rsid w:val="00CC37A7"/>
    <w:rsid w:val="00CC3809"/>
    <w:rsid w:val="00CC390A"/>
    <w:rsid w:val="00CC3968"/>
    <w:rsid w:val="00CC3A24"/>
    <w:rsid w:val="00CC3C57"/>
    <w:rsid w:val="00CC3D65"/>
    <w:rsid w:val="00CC3E18"/>
    <w:rsid w:val="00CC3E21"/>
    <w:rsid w:val="00CC3F43"/>
    <w:rsid w:val="00CC3FF2"/>
    <w:rsid w:val="00CC4517"/>
    <w:rsid w:val="00CC469F"/>
    <w:rsid w:val="00CC47C3"/>
    <w:rsid w:val="00CC4DBF"/>
    <w:rsid w:val="00CC5141"/>
    <w:rsid w:val="00CC54EC"/>
    <w:rsid w:val="00CC55B9"/>
    <w:rsid w:val="00CC589A"/>
    <w:rsid w:val="00CC58C6"/>
    <w:rsid w:val="00CC594A"/>
    <w:rsid w:val="00CC5AD6"/>
    <w:rsid w:val="00CC5CCD"/>
    <w:rsid w:val="00CC5D15"/>
    <w:rsid w:val="00CC6359"/>
    <w:rsid w:val="00CC6377"/>
    <w:rsid w:val="00CC6411"/>
    <w:rsid w:val="00CC64CF"/>
    <w:rsid w:val="00CC6571"/>
    <w:rsid w:val="00CC6576"/>
    <w:rsid w:val="00CC6E36"/>
    <w:rsid w:val="00CC6E8E"/>
    <w:rsid w:val="00CC6F86"/>
    <w:rsid w:val="00CC7199"/>
    <w:rsid w:val="00CC75AC"/>
    <w:rsid w:val="00CC75D2"/>
    <w:rsid w:val="00CC7644"/>
    <w:rsid w:val="00CC76EB"/>
    <w:rsid w:val="00CC7861"/>
    <w:rsid w:val="00CC7A07"/>
    <w:rsid w:val="00CC7A2D"/>
    <w:rsid w:val="00CC7A9B"/>
    <w:rsid w:val="00CC7C3F"/>
    <w:rsid w:val="00CC7C71"/>
    <w:rsid w:val="00CC7EAC"/>
    <w:rsid w:val="00CD007A"/>
    <w:rsid w:val="00CD0157"/>
    <w:rsid w:val="00CD01FF"/>
    <w:rsid w:val="00CD02E7"/>
    <w:rsid w:val="00CD03A2"/>
    <w:rsid w:val="00CD040E"/>
    <w:rsid w:val="00CD058C"/>
    <w:rsid w:val="00CD084D"/>
    <w:rsid w:val="00CD0E8A"/>
    <w:rsid w:val="00CD0ECF"/>
    <w:rsid w:val="00CD107C"/>
    <w:rsid w:val="00CD1171"/>
    <w:rsid w:val="00CD14B5"/>
    <w:rsid w:val="00CD159E"/>
    <w:rsid w:val="00CD169C"/>
    <w:rsid w:val="00CD1798"/>
    <w:rsid w:val="00CD17C0"/>
    <w:rsid w:val="00CD1922"/>
    <w:rsid w:val="00CD19B8"/>
    <w:rsid w:val="00CD1AE8"/>
    <w:rsid w:val="00CD1D9D"/>
    <w:rsid w:val="00CD1DEA"/>
    <w:rsid w:val="00CD2242"/>
    <w:rsid w:val="00CD266A"/>
    <w:rsid w:val="00CD2A5D"/>
    <w:rsid w:val="00CD2AB9"/>
    <w:rsid w:val="00CD2B75"/>
    <w:rsid w:val="00CD2DF0"/>
    <w:rsid w:val="00CD2FFB"/>
    <w:rsid w:val="00CD3175"/>
    <w:rsid w:val="00CD3449"/>
    <w:rsid w:val="00CD3660"/>
    <w:rsid w:val="00CD36D7"/>
    <w:rsid w:val="00CD37A7"/>
    <w:rsid w:val="00CD3821"/>
    <w:rsid w:val="00CD384F"/>
    <w:rsid w:val="00CD3955"/>
    <w:rsid w:val="00CD3A3A"/>
    <w:rsid w:val="00CD3B84"/>
    <w:rsid w:val="00CD3EA3"/>
    <w:rsid w:val="00CD41EF"/>
    <w:rsid w:val="00CD4433"/>
    <w:rsid w:val="00CD4495"/>
    <w:rsid w:val="00CD486B"/>
    <w:rsid w:val="00CD4A52"/>
    <w:rsid w:val="00CD4D42"/>
    <w:rsid w:val="00CD4F7E"/>
    <w:rsid w:val="00CD5310"/>
    <w:rsid w:val="00CD54E3"/>
    <w:rsid w:val="00CD5690"/>
    <w:rsid w:val="00CD573A"/>
    <w:rsid w:val="00CD5782"/>
    <w:rsid w:val="00CD5AC0"/>
    <w:rsid w:val="00CD5FE3"/>
    <w:rsid w:val="00CD678A"/>
    <w:rsid w:val="00CD681A"/>
    <w:rsid w:val="00CD694D"/>
    <w:rsid w:val="00CD6CC2"/>
    <w:rsid w:val="00CD6CCF"/>
    <w:rsid w:val="00CD6ECF"/>
    <w:rsid w:val="00CD706F"/>
    <w:rsid w:val="00CD7177"/>
    <w:rsid w:val="00CD730E"/>
    <w:rsid w:val="00CD74AD"/>
    <w:rsid w:val="00CD751A"/>
    <w:rsid w:val="00CD761C"/>
    <w:rsid w:val="00CD7890"/>
    <w:rsid w:val="00CE0172"/>
    <w:rsid w:val="00CE02E4"/>
    <w:rsid w:val="00CE055C"/>
    <w:rsid w:val="00CE0785"/>
    <w:rsid w:val="00CE09DC"/>
    <w:rsid w:val="00CE0A10"/>
    <w:rsid w:val="00CE0CD3"/>
    <w:rsid w:val="00CE0E06"/>
    <w:rsid w:val="00CE0F63"/>
    <w:rsid w:val="00CE14D9"/>
    <w:rsid w:val="00CE16E1"/>
    <w:rsid w:val="00CE17A9"/>
    <w:rsid w:val="00CE1DF5"/>
    <w:rsid w:val="00CE1E4F"/>
    <w:rsid w:val="00CE1F66"/>
    <w:rsid w:val="00CE1FAB"/>
    <w:rsid w:val="00CE1FF7"/>
    <w:rsid w:val="00CE2012"/>
    <w:rsid w:val="00CE219A"/>
    <w:rsid w:val="00CE27C6"/>
    <w:rsid w:val="00CE29E0"/>
    <w:rsid w:val="00CE2AF8"/>
    <w:rsid w:val="00CE2BCF"/>
    <w:rsid w:val="00CE2C36"/>
    <w:rsid w:val="00CE2C74"/>
    <w:rsid w:val="00CE2CA8"/>
    <w:rsid w:val="00CE2EB6"/>
    <w:rsid w:val="00CE3014"/>
    <w:rsid w:val="00CE3023"/>
    <w:rsid w:val="00CE3090"/>
    <w:rsid w:val="00CE30B8"/>
    <w:rsid w:val="00CE313B"/>
    <w:rsid w:val="00CE31A7"/>
    <w:rsid w:val="00CE3296"/>
    <w:rsid w:val="00CE3428"/>
    <w:rsid w:val="00CE3482"/>
    <w:rsid w:val="00CE3662"/>
    <w:rsid w:val="00CE3860"/>
    <w:rsid w:val="00CE38F6"/>
    <w:rsid w:val="00CE3965"/>
    <w:rsid w:val="00CE39E8"/>
    <w:rsid w:val="00CE3A9F"/>
    <w:rsid w:val="00CE3E0A"/>
    <w:rsid w:val="00CE47CF"/>
    <w:rsid w:val="00CE47DF"/>
    <w:rsid w:val="00CE4899"/>
    <w:rsid w:val="00CE4AB4"/>
    <w:rsid w:val="00CE4AD9"/>
    <w:rsid w:val="00CE4B4D"/>
    <w:rsid w:val="00CE4C11"/>
    <w:rsid w:val="00CE4C34"/>
    <w:rsid w:val="00CE4D6C"/>
    <w:rsid w:val="00CE4E4E"/>
    <w:rsid w:val="00CE4F35"/>
    <w:rsid w:val="00CE51FC"/>
    <w:rsid w:val="00CE541E"/>
    <w:rsid w:val="00CE5529"/>
    <w:rsid w:val="00CE557A"/>
    <w:rsid w:val="00CE5970"/>
    <w:rsid w:val="00CE5A50"/>
    <w:rsid w:val="00CE5B55"/>
    <w:rsid w:val="00CE5C85"/>
    <w:rsid w:val="00CE5D5C"/>
    <w:rsid w:val="00CE5EF8"/>
    <w:rsid w:val="00CE60E3"/>
    <w:rsid w:val="00CE63A2"/>
    <w:rsid w:val="00CE6534"/>
    <w:rsid w:val="00CE6654"/>
    <w:rsid w:val="00CE6756"/>
    <w:rsid w:val="00CE6847"/>
    <w:rsid w:val="00CE68AD"/>
    <w:rsid w:val="00CE698D"/>
    <w:rsid w:val="00CE6A27"/>
    <w:rsid w:val="00CE6B44"/>
    <w:rsid w:val="00CE6CA6"/>
    <w:rsid w:val="00CE6D94"/>
    <w:rsid w:val="00CE6E11"/>
    <w:rsid w:val="00CE6E3C"/>
    <w:rsid w:val="00CE7050"/>
    <w:rsid w:val="00CE7196"/>
    <w:rsid w:val="00CE732E"/>
    <w:rsid w:val="00CE754C"/>
    <w:rsid w:val="00CE7744"/>
    <w:rsid w:val="00CE77FC"/>
    <w:rsid w:val="00CE799E"/>
    <w:rsid w:val="00CE79EA"/>
    <w:rsid w:val="00CE79FD"/>
    <w:rsid w:val="00CE7B60"/>
    <w:rsid w:val="00CE7D01"/>
    <w:rsid w:val="00CE7DCD"/>
    <w:rsid w:val="00CE7E1C"/>
    <w:rsid w:val="00CE7EFF"/>
    <w:rsid w:val="00CF0034"/>
    <w:rsid w:val="00CF05AF"/>
    <w:rsid w:val="00CF064B"/>
    <w:rsid w:val="00CF06CB"/>
    <w:rsid w:val="00CF0888"/>
    <w:rsid w:val="00CF0A28"/>
    <w:rsid w:val="00CF0ABD"/>
    <w:rsid w:val="00CF0B77"/>
    <w:rsid w:val="00CF1281"/>
    <w:rsid w:val="00CF13E3"/>
    <w:rsid w:val="00CF1610"/>
    <w:rsid w:val="00CF18FB"/>
    <w:rsid w:val="00CF19F6"/>
    <w:rsid w:val="00CF1A3D"/>
    <w:rsid w:val="00CF1A70"/>
    <w:rsid w:val="00CF1C42"/>
    <w:rsid w:val="00CF1F6D"/>
    <w:rsid w:val="00CF208F"/>
    <w:rsid w:val="00CF2105"/>
    <w:rsid w:val="00CF24A5"/>
    <w:rsid w:val="00CF26F2"/>
    <w:rsid w:val="00CF27B8"/>
    <w:rsid w:val="00CF2812"/>
    <w:rsid w:val="00CF2A48"/>
    <w:rsid w:val="00CF2ADB"/>
    <w:rsid w:val="00CF3159"/>
    <w:rsid w:val="00CF35F5"/>
    <w:rsid w:val="00CF35F9"/>
    <w:rsid w:val="00CF3636"/>
    <w:rsid w:val="00CF38D5"/>
    <w:rsid w:val="00CF3BFB"/>
    <w:rsid w:val="00CF3DC5"/>
    <w:rsid w:val="00CF3E56"/>
    <w:rsid w:val="00CF4047"/>
    <w:rsid w:val="00CF4320"/>
    <w:rsid w:val="00CF4525"/>
    <w:rsid w:val="00CF47B3"/>
    <w:rsid w:val="00CF4A5C"/>
    <w:rsid w:val="00CF4D5E"/>
    <w:rsid w:val="00CF5020"/>
    <w:rsid w:val="00CF5110"/>
    <w:rsid w:val="00CF51AC"/>
    <w:rsid w:val="00CF5340"/>
    <w:rsid w:val="00CF5365"/>
    <w:rsid w:val="00CF5413"/>
    <w:rsid w:val="00CF5484"/>
    <w:rsid w:val="00CF54A5"/>
    <w:rsid w:val="00CF5C2F"/>
    <w:rsid w:val="00CF5D2B"/>
    <w:rsid w:val="00CF5E09"/>
    <w:rsid w:val="00CF5EFF"/>
    <w:rsid w:val="00CF600B"/>
    <w:rsid w:val="00CF628D"/>
    <w:rsid w:val="00CF638E"/>
    <w:rsid w:val="00CF6514"/>
    <w:rsid w:val="00CF655E"/>
    <w:rsid w:val="00CF6A6B"/>
    <w:rsid w:val="00CF6ACC"/>
    <w:rsid w:val="00CF6F88"/>
    <w:rsid w:val="00CF738C"/>
    <w:rsid w:val="00CF7412"/>
    <w:rsid w:val="00CF75DA"/>
    <w:rsid w:val="00CF7699"/>
    <w:rsid w:val="00CF7789"/>
    <w:rsid w:val="00CF7B74"/>
    <w:rsid w:val="00CF7C1B"/>
    <w:rsid w:val="00CF7D86"/>
    <w:rsid w:val="00D00041"/>
    <w:rsid w:val="00D002EF"/>
    <w:rsid w:val="00D00389"/>
    <w:rsid w:val="00D00592"/>
    <w:rsid w:val="00D006A7"/>
    <w:rsid w:val="00D007D0"/>
    <w:rsid w:val="00D00A47"/>
    <w:rsid w:val="00D00C65"/>
    <w:rsid w:val="00D00E68"/>
    <w:rsid w:val="00D010FB"/>
    <w:rsid w:val="00D011BA"/>
    <w:rsid w:val="00D011EF"/>
    <w:rsid w:val="00D01438"/>
    <w:rsid w:val="00D0152C"/>
    <w:rsid w:val="00D01630"/>
    <w:rsid w:val="00D0163F"/>
    <w:rsid w:val="00D016B5"/>
    <w:rsid w:val="00D017E0"/>
    <w:rsid w:val="00D01A7C"/>
    <w:rsid w:val="00D01BC3"/>
    <w:rsid w:val="00D01C19"/>
    <w:rsid w:val="00D01CE6"/>
    <w:rsid w:val="00D01CFD"/>
    <w:rsid w:val="00D0213D"/>
    <w:rsid w:val="00D02192"/>
    <w:rsid w:val="00D021B8"/>
    <w:rsid w:val="00D02305"/>
    <w:rsid w:val="00D02381"/>
    <w:rsid w:val="00D027AB"/>
    <w:rsid w:val="00D02988"/>
    <w:rsid w:val="00D02A25"/>
    <w:rsid w:val="00D02C02"/>
    <w:rsid w:val="00D03349"/>
    <w:rsid w:val="00D03401"/>
    <w:rsid w:val="00D034A3"/>
    <w:rsid w:val="00D03660"/>
    <w:rsid w:val="00D03717"/>
    <w:rsid w:val="00D03B59"/>
    <w:rsid w:val="00D03DEA"/>
    <w:rsid w:val="00D03FC0"/>
    <w:rsid w:val="00D0414D"/>
    <w:rsid w:val="00D041A4"/>
    <w:rsid w:val="00D04485"/>
    <w:rsid w:val="00D0465F"/>
    <w:rsid w:val="00D04910"/>
    <w:rsid w:val="00D049CA"/>
    <w:rsid w:val="00D04A72"/>
    <w:rsid w:val="00D04B5D"/>
    <w:rsid w:val="00D04C8E"/>
    <w:rsid w:val="00D04D0B"/>
    <w:rsid w:val="00D04E16"/>
    <w:rsid w:val="00D05050"/>
    <w:rsid w:val="00D05097"/>
    <w:rsid w:val="00D051ED"/>
    <w:rsid w:val="00D05537"/>
    <w:rsid w:val="00D058C6"/>
    <w:rsid w:val="00D05973"/>
    <w:rsid w:val="00D05A59"/>
    <w:rsid w:val="00D05B9E"/>
    <w:rsid w:val="00D05D76"/>
    <w:rsid w:val="00D05E6A"/>
    <w:rsid w:val="00D05F78"/>
    <w:rsid w:val="00D06353"/>
    <w:rsid w:val="00D0676D"/>
    <w:rsid w:val="00D0682D"/>
    <w:rsid w:val="00D06BC8"/>
    <w:rsid w:val="00D06E4D"/>
    <w:rsid w:val="00D07269"/>
    <w:rsid w:val="00D07363"/>
    <w:rsid w:val="00D073A9"/>
    <w:rsid w:val="00D07624"/>
    <w:rsid w:val="00D07702"/>
    <w:rsid w:val="00D07937"/>
    <w:rsid w:val="00D07AA4"/>
    <w:rsid w:val="00D07BF3"/>
    <w:rsid w:val="00D07E10"/>
    <w:rsid w:val="00D07FA6"/>
    <w:rsid w:val="00D10203"/>
    <w:rsid w:val="00D10354"/>
    <w:rsid w:val="00D1055B"/>
    <w:rsid w:val="00D10585"/>
    <w:rsid w:val="00D1067A"/>
    <w:rsid w:val="00D10C63"/>
    <w:rsid w:val="00D10C7A"/>
    <w:rsid w:val="00D10CB0"/>
    <w:rsid w:val="00D10E48"/>
    <w:rsid w:val="00D10F6B"/>
    <w:rsid w:val="00D110A0"/>
    <w:rsid w:val="00D11336"/>
    <w:rsid w:val="00D11660"/>
    <w:rsid w:val="00D118B3"/>
    <w:rsid w:val="00D11C96"/>
    <w:rsid w:val="00D11E0D"/>
    <w:rsid w:val="00D1207B"/>
    <w:rsid w:val="00D121D6"/>
    <w:rsid w:val="00D12397"/>
    <w:rsid w:val="00D12482"/>
    <w:rsid w:val="00D127E0"/>
    <w:rsid w:val="00D12B03"/>
    <w:rsid w:val="00D12D7E"/>
    <w:rsid w:val="00D12F4E"/>
    <w:rsid w:val="00D12F88"/>
    <w:rsid w:val="00D12FF1"/>
    <w:rsid w:val="00D13045"/>
    <w:rsid w:val="00D1326C"/>
    <w:rsid w:val="00D132E1"/>
    <w:rsid w:val="00D13717"/>
    <w:rsid w:val="00D1371A"/>
    <w:rsid w:val="00D13920"/>
    <w:rsid w:val="00D13A79"/>
    <w:rsid w:val="00D13F6E"/>
    <w:rsid w:val="00D143A0"/>
    <w:rsid w:val="00D1470F"/>
    <w:rsid w:val="00D1484E"/>
    <w:rsid w:val="00D14BF0"/>
    <w:rsid w:val="00D14D8A"/>
    <w:rsid w:val="00D14F34"/>
    <w:rsid w:val="00D14F36"/>
    <w:rsid w:val="00D14F89"/>
    <w:rsid w:val="00D150EF"/>
    <w:rsid w:val="00D15207"/>
    <w:rsid w:val="00D15369"/>
    <w:rsid w:val="00D15384"/>
    <w:rsid w:val="00D1568C"/>
    <w:rsid w:val="00D156A7"/>
    <w:rsid w:val="00D1594B"/>
    <w:rsid w:val="00D15B28"/>
    <w:rsid w:val="00D15B57"/>
    <w:rsid w:val="00D160E9"/>
    <w:rsid w:val="00D16758"/>
    <w:rsid w:val="00D16961"/>
    <w:rsid w:val="00D16A33"/>
    <w:rsid w:val="00D16B3A"/>
    <w:rsid w:val="00D16BD2"/>
    <w:rsid w:val="00D16CC5"/>
    <w:rsid w:val="00D16D61"/>
    <w:rsid w:val="00D16DE3"/>
    <w:rsid w:val="00D16E42"/>
    <w:rsid w:val="00D16FF3"/>
    <w:rsid w:val="00D170E0"/>
    <w:rsid w:val="00D17140"/>
    <w:rsid w:val="00D1718C"/>
    <w:rsid w:val="00D17572"/>
    <w:rsid w:val="00D177E3"/>
    <w:rsid w:val="00D179F6"/>
    <w:rsid w:val="00D17A47"/>
    <w:rsid w:val="00D17ED6"/>
    <w:rsid w:val="00D200DC"/>
    <w:rsid w:val="00D20207"/>
    <w:rsid w:val="00D20372"/>
    <w:rsid w:val="00D20486"/>
    <w:rsid w:val="00D20493"/>
    <w:rsid w:val="00D206B6"/>
    <w:rsid w:val="00D2090B"/>
    <w:rsid w:val="00D2097D"/>
    <w:rsid w:val="00D20C3B"/>
    <w:rsid w:val="00D20C64"/>
    <w:rsid w:val="00D20CAA"/>
    <w:rsid w:val="00D20E1C"/>
    <w:rsid w:val="00D20E9E"/>
    <w:rsid w:val="00D21017"/>
    <w:rsid w:val="00D213B2"/>
    <w:rsid w:val="00D2146A"/>
    <w:rsid w:val="00D216D4"/>
    <w:rsid w:val="00D216EB"/>
    <w:rsid w:val="00D21760"/>
    <w:rsid w:val="00D21D91"/>
    <w:rsid w:val="00D22069"/>
    <w:rsid w:val="00D2255F"/>
    <w:rsid w:val="00D22722"/>
    <w:rsid w:val="00D22815"/>
    <w:rsid w:val="00D2287E"/>
    <w:rsid w:val="00D22A6C"/>
    <w:rsid w:val="00D22BBC"/>
    <w:rsid w:val="00D22DCF"/>
    <w:rsid w:val="00D22DDF"/>
    <w:rsid w:val="00D22E34"/>
    <w:rsid w:val="00D22E9C"/>
    <w:rsid w:val="00D22F0C"/>
    <w:rsid w:val="00D22F4C"/>
    <w:rsid w:val="00D23029"/>
    <w:rsid w:val="00D23032"/>
    <w:rsid w:val="00D2307C"/>
    <w:rsid w:val="00D231BD"/>
    <w:rsid w:val="00D23548"/>
    <w:rsid w:val="00D23717"/>
    <w:rsid w:val="00D2397E"/>
    <w:rsid w:val="00D2398B"/>
    <w:rsid w:val="00D23995"/>
    <w:rsid w:val="00D23A4C"/>
    <w:rsid w:val="00D23B3B"/>
    <w:rsid w:val="00D23F30"/>
    <w:rsid w:val="00D23F4D"/>
    <w:rsid w:val="00D24097"/>
    <w:rsid w:val="00D24280"/>
    <w:rsid w:val="00D2432A"/>
    <w:rsid w:val="00D243E5"/>
    <w:rsid w:val="00D24409"/>
    <w:rsid w:val="00D246B7"/>
    <w:rsid w:val="00D24975"/>
    <w:rsid w:val="00D24B2F"/>
    <w:rsid w:val="00D24BA2"/>
    <w:rsid w:val="00D24BA6"/>
    <w:rsid w:val="00D24C8B"/>
    <w:rsid w:val="00D24E22"/>
    <w:rsid w:val="00D24E80"/>
    <w:rsid w:val="00D250FB"/>
    <w:rsid w:val="00D2518C"/>
    <w:rsid w:val="00D255AD"/>
    <w:rsid w:val="00D25A50"/>
    <w:rsid w:val="00D25D7C"/>
    <w:rsid w:val="00D26118"/>
    <w:rsid w:val="00D2621D"/>
    <w:rsid w:val="00D26376"/>
    <w:rsid w:val="00D263CB"/>
    <w:rsid w:val="00D2658F"/>
    <w:rsid w:val="00D267DA"/>
    <w:rsid w:val="00D268BD"/>
    <w:rsid w:val="00D26969"/>
    <w:rsid w:val="00D26A56"/>
    <w:rsid w:val="00D26BA8"/>
    <w:rsid w:val="00D26CD9"/>
    <w:rsid w:val="00D26CE6"/>
    <w:rsid w:val="00D26D1E"/>
    <w:rsid w:val="00D26DF5"/>
    <w:rsid w:val="00D27246"/>
    <w:rsid w:val="00D273C7"/>
    <w:rsid w:val="00D273EF"/>
    <w:rsid w:val="00D27443"/>
    <w:rsid w:val="00D2775E"/>
    <w:rsid w:val="00D27AC8"/>
    <w:rsid w:val="00D27E29"/>
    <w:rsid w:val="00D27E48"/>
    <w:rsid w:val="00D27F62"/>
    <w:rsid w:val="00D300EE"/>
    <w:rsid w:val="00D301CE"/>
    <w:rsid w:val="00D301EA"/>
    <w:rsid w:val="00D3028F"/>
    <w:rsid w:val="00D3058A"/>
    <w:rsid w:val="00D30623"/>
    <w:rsid w:val="00D309EC"/>
    <w:rsid w:val="00D30AE1"/>
    <w:rsid w:val="00D30BAA"/>
    <w:rsid w:val="00D30C4B"/>
    <w:rsid w:val="00D30D08"/>
    <w:rsid w:val="00D30E19"/>
    <w:rsid w:val="00D311B0"/>
    <w:rsid w:val="00D31224"/>
    <w:rsid w:val="00D31AB3"/>
    <w:rsid w:val="00D31DC3"/>
    <w:rsid w:val="00D31E8B"/>
    <w:rsid w:val="00D32284"/>
    <w:rsid w:val="00D326D0"/>
    <w:rsid w:val="00D327BD"/>
    <w:rsid w:val="00D3289B"/>
    <w:rsid w:val="00D32A8C"/>
    <w:rsid w:val="00D32DBD"/>
    <w:rsid w:val="00D32E67"/>
    <w:rsid w:val="00D32FE4"/>
    <w:rsid w:val="00D33065"/>
    <w:rsid w:val="00D331CA"/>
    <w:rsid w:val="00D331EE"/>
    <w:rsid w:val="00D3330F"/>
    <w:rsid w:val="00D335A5"/>
    <w:rsid w:val="00D3373D"/>
    <w:rsid w:val="00D337D0"/>
    <w:rsid w:val="00D33A64"/>
    <w:rsid w:val="00D33A6E"/>
    <w:rsid w:val="00D33B7C"/>
    <w:rsid w:val="00D33BD6"/>
    <w:rsid w:val="00D33D11"/>
    <w:rsid w:val="00D33FEB"/>
    <w:rsid w:val="00D34382"/>
    <w:rsid w:val="00D34411"/>
    <w:rsid w:val="00D3449B"/>
    <w:rsid w:val="00D3482E"/>
    <w:rsid w:val="00D34983"/>
    <w:rsid w:val="00D34EC9"/>
    <w:rsid w:val="00D350EB"/>
    <w:rsid w:val="00D35156"/>
    <w:rsid w:val="00D35415"/>
    <w:rsid w:val="00D356EF"/>
    <w:rsid w:val="00D35981"/>
    <w:rsid w:val="00D359C7"/>
    <w:rsid w:val="00D35A16"/>
    <w:rsid w:val="00D35D17"/>
    <w:rsid w:val="00D35E48"/>
    <w:rsid w:val="00D35FF4"/>
    <w:rsid w:val="00D364DA"/>
    <w:rsid w:val="00D3658E"/>
    <w:rsid w:val="00D366EF"/>
    <w:rsid w:val="00D36830"/>
    <w:rsid w:val="00D36B11"/>
    <w:rsid w:val="00D36B1E"/>
    <w:rsid w:val="00D36C96"/>
    <w:rsid w:val="00D36CF1"/>
    <w:rsid w:val="00D36DA6"/>
    <w:rsid w:val="00D36EB9"/>
    <w:rsid w:val="00D37103"/>
    <w:rsid w:val="00D371D9"/>
    <w:rsid w:val="00D37242"/>
    <w:rsid w:val="00D372DC"/>
    <w:rsid w:val="00D3739C"/>
    <w:rsid w:val="00D37571"/>
    <w:rsid w:val="00D375DD"/>
    <w:rsid w:val="00D3766A"/>
    <w:rsid w:val="00D3772B"/>
    <w:rsid w:val="00D377C3"/>
    <w:rsid w:val="00D37828"/>
    <w:rsid w:val="00D37846"/>
    <w:rsid w:val="00D37B83"/>
    <w:rsid w:val="00D37F57"/>
    <w:rsid w:val="00D37F9F"/>
    <w:rsid w:val="00D40466"/>
    <w:rsid w:val="00D4070B"/>
    <w:rsid w:val="00D407A9"/>
    <w:rsid w:val="00D40BF6"/>
    <w:rsid w:val="00D40DD2"/>
    <w:rsid w:val="00D40E5B"/>
    <w:rsid w:val="00D40E7A"/>
    <w:rsid w:val="00D41226"/>
    <w:rsid w:val="00D41239"/>
    <w:rsid w:val="00D4126D"/>
    <w:rsid w:val="00D412DD"/>
    <w:rsid w:val="00D4145C"/>
    <w:rsid w:val="00D416B5"/>
    <w:rsid w:val="00D418F7"/>
    <w:rsid w:val="00D4206F"/>
    <w:rsid w:val="00D421F8"/>
    <w:rsid w:val="00D427A9"/>
    <w:rsid w:val="00D42818"/>
    <w:rsid w:val="00D4283A"/>
    <w:rsid w:val="00D42A68"/>
    <w:rsid w:val="00D42CB8"/>
    <w:rsid w:val="00D42D1B"/>
    <w:rsid w:val="00D43147"/>
    <w:rsid w:val="00D4335E"/>
    <w:rsid w:val="00D4352C"/>
    <w:rsid w:val="00D436D5"/>
    <w:rsid w:val="00D437B4"/>
    <w:rsid w:val="00D438AE"/>
    <w:rsid w:val="00D438F7"/>
    <w:rsid w:val="00D439CB"/>
    <w:rsid w:val="00D43A48"/>
    <w:rsid w:val="00D43B2B"/>
    <w:rsid w:val="00D43C0F"/>
    <w:rsid w:val="00D43FF4"/>
    <w:rsid w:val="00D4409B"/>
    <w:rsid w:val="00D44442"/>
    <w:rsid w:val="00D44513"/>
    <w:rsid w:val="00D44597"/>
    <w:rsid w:val="00D4492D"/>
    <w:rsid w:val="00D44A20"/>
    <w:rsid w:val="00D44A98"/>
    <w:rsid w:val="00D44D67"/>
    <w:rsid w:val="00D44E03"/>
    <w:rsid w:val="00D453AC"/>
    <w:rsid w:val="00D456CA"/>
    <w:rsid w:val="00D4578D"/>
    <w:rsid w:val="00D458F7"/>
    <w:rsid w:val="00D45CCF"/>
    <w:rsid w:val="00D45E53"/>
    <w:rsid w:val="00D45F03"/>
    <w:rsid w:val="00D4600E"/>
    <w:rsid w:val="00D461F9"/>
    <w:rsid w:val="00D4626D"/>
    <w:rsid w:val="00D463C0"/>
    <w:rsid w:val="00D46487"/>
    <w:rsid w:val="00D467A2"/>
    <w:rsid w:val="00D4680D"/>
    <w:rsid w:val="00D46917"/>
    <w:rsid w:val="00D46AA8"/>
    <w:rsid w:val="00D46F11"/>
    <w:rsid w:val="00D46F7D"/>
    <w:rsid w:val="00D46FDE"/>
    <w:rsid w:val="00D4716A"/>
    <w:rsid w:val="00D47432"/>
    <w:rsid w:val="00D479A4"/>
    <w:rsid w:val="00D47A32"/>
    <w:rsid w:val="00D47AA5"/>
    <w:rsid w:val="00D47B25"/>
    <w:rsid w:val="00D47B7E"/>
    <w:rsid w:val="00D47BEE"/>
    <w:rsid w:val="00D500B1"/>
    <w:rsid w:val="00D50198"/>
    <w:rsid w:val="00D505D6"/>
    <w:rsid w:val="00D5069A"/>
    <w:rsid w:val="00D50721"/>
    <w:rsid w:val="00D50946"/>
    <w:rsid w:val="00D5097C"/>
    <w:rsid w:val="00D50A77"/>
    <w:rsid w:val="00D50F5F"/>
    <w:rsid w:val="00D51255"/>
    <w:rsid w:val="00D513A2"/>
    <w:rsid w:val="00D513C8"/>
    <w:rsid w:val="00D51413"/>
    <w:rsid w:val="00D518B0"/>
    <w:rsid w:val="00D51A05"/>
    <w:rsid w:val="00D51E7A"/>
    <w:rsid w:val="00D51F8D"/>
    <w:rsid w:val="00D52005"/>
    <w:rsid w:val="00D52014"/>
    <w:rsid w:val="00D520AA"/>
    <w:rsid w:val="00D52381"/>
    <w:rsid w:val="00D5239F"/>
    <w:rsid w:val="00D52476"/>
    <w:rsid w:val="00D52509"/>
    <w:rsid w:val="00D52723"/>
    <w:rsid w:val="00D52785"/>
    <w:rsid w:val="00D529F7"/>
    <w:rsid w:val="00D52C65"/>
    <w:rsid w:val="00D53034"/>
    <w:rsid w:val="00D531D6"/>
    <w:rsid w:val="00D53226"/>
    <w:rsid w:val="00D5363A"/>
    <w:rsid w:val="00D53F3D"/>
    <w:rsid w:val="00D5428B"/>
    <w:rsid w:val="00D543E5"/>
    <w:rsid w:val="00D5456C"/>
    <w:rsid w:val="00D546F5"/>
    <w:rsid w:val="00D5479B"/>
    <w:rsid w:val="00D547A3"/>
    <w:rsid w:val="00D54BBE"/>
    <w:rsid w:val="00D5516C"/>
    <w:rsid w:val="00D5518F"/>
    <w:rsid w:val="00D5529D"/>
    <w:rsid w:val="00D55357"/>
    <w:rsid w:val="00D556AA"/>
    <w:rsid w:val="00D559E2"/>
    <w:rsid w:val="00D55DA8"/>
    <w:rsid w:val="00D55EC1"/>
    <w:rsid w:val="00D55FBE"/>
    <w:rsid w:val="00D56023"/>
    <w:rsid w:val="00D56447"/>
    <w:rsid w:val="00D56641"/>
    <w:rsid w:val="00D56741"/>
    <w:rsid w:val="00D569E3"/>
    <w:rsid w:val="00D56BAC"/>
    <w:rsid w:val="00D56EC8"/>
    <w:rsid w:val="00D57188"/>
    <w:rsid w:val="00D576F3"/>
    <w:rsid w:val="00D57808"/>
    <w:rsid w:val="00D57C8D"/>
    <w:rsid w:val="00D57E61"/>
    <w:rsid w:val="00D60190"/>
    <w:rsid w:val="00D603A3"/>
    <w:rsid w:val="00D60425"/>
    <w:rsid w:val="00D604FA"/>
    <w:rsid w:val="00D6066D"/>
    <w:rsid w:val="00D607B1"/>
    <w:rsid w:val="00D60D3B"/>
    <w:rsid w:val="00D61164"/>
    <w:rsid w:val="00D61165"/>
    <w:rsid w:val="00D612EB"/>
    <w:rsid w:val="00D6133A"/>
    <w:rsid w:val="00D6148C"/>
    <w:rsid w:val="00D61610"/>
    <w:rsid w:val="00D618AC"/>
    <w:rsid w:val="00D61D4E"/>
    <w:rsid w:val="00D61FA3"/>
    <w:rsid w:val="00D62485"/>
    <w:rsid w:val="00D625BE"/>
    <w:rsid w:val="00D6270A"/>
    <w:rsid w:val="00D62CC2"/>
    <w:rsid w:val="00D62E30"/>
    <w:rsid w:val="00D62E82"/>
    <w:rsid w:val="00D6315B"/>
    <w:rsid w:val="00D6330E"/>
    <w:rsid w:val="00D6363B"/>
    <w:rsid w:val="00D6379F"/>
    <w:rsid w:val="00D6381F"/>
    <w:rsid w:val="00D63830"/>
    <w:rsid w:val="00D63B65"/>
    <w:rsid w:val="00D63C48"/>
    <w:rsid w:val="00D63D6B"/>
    <w:rsid w:val="00D64123"/>
    <w:rsid w:val="00D6417B"/>
    <w:rsid w:val="00D64387"/>
    <w:rsid w:val="00D64534"/>
    <w:rsid w:val="00D64829"/>
    <w:rsid w:val="00D64914"/>
    <w:rsid w:val="00D64CD0"/>
    <w:rsid w:val="00D64E37"/>
    <w:rsid w:val="00D64E5C"/>
    <w:rsid w:val="00D650C0"/>
    <w:rsid w:val="00D650DE"/>
    <w:rsid w:val="00D65134"/>
    <w:rsid w:val="00D6523D"/>
    <w:rsid w:val="00D652E0"/>
    <w:rsid w:val="00D65560"/>
    <w:rsid w:val="00D65CC3"/>
    <w:rsid w:val="00D65F59"/>
    <w:rsid w:val="00D66143"/>
    <w:rsid w:val="00D6626E"/>
    <w:rsid w:val="00D66344"/>
    <w:rsid w:val="00D668E5"/>
    <w:rsid w:val="00D66C9E"/>
    <w:rsid w:val="00D66CE8"/>
    <w:rsid w:val="00D66D7D"/>
    <w:rsid w:val="00D66E3D"/>
    <w:rsid w:val="00D66EF5"/>
    <w:rsid w:val="00D67365"/>
    <w:rsid w:val="00D674D2"/>
    <w:rsid w:val="00D6763A"/>
    <w:rsid w:val="00D67787"/>
    <w:rsid w:val="00D677DE"/>
    <w:rsid w:val="00D6787F"/>
    <w:rsid w:val="00D67BFE"/>
    <w:rsid w:val="00D67CE6"/>
    <w:rsid w:val="00D67D84"/>
    <w:rsid w:val="00D67E1A"/>
    <w:rsid w:val="00D70013"/>
    <w:rsid w:val="00D7006C"/>
    <w:rsid w:val="00D7038E"/>
    <w:rsid w:val="00D703E3"/>
    <w:rsid w:val="00D7051A"/>
    <w:rsid w:val="00D70652"/>
    <w:rsid w:val="00D7082A"/>
    <w:rsid w:val="00D7092C"/>
    <w:rsid w:val="00D7099B"/>
    <w:rsid w:val="00D70BDB"/>
    <w:rsid w:val="00D70BDC"/>
    <w:rsid w:val="00D70DE0"/>
    <w:rsid w:val="00D70DFB"/>
    <w:rsid w:val="00D70E5A"/>
    <w:rsid w:val="00D7127C"/>
    <w:rsid w:val="00D714B9"/>
    <w:rsid w:val="00D71540"/>
    <w:rsid w:val="00D716C8"/>
    <w:rsid w:val="00D716FA"/>
    <w:rsid w:val="00D71AC1"/>
    <w:rsid w:val="00D71C2D"/>
    <w:rsid w:val="00D71C56"/>
    <w:rsid w:val="00D71E05"/>
    <w:rsid w:val="00D71EE6"/>
    <w:rsid w:val="00D71FC4"/>
    <w:rsid w:val="00D72024"/>
    <w:rsid w:val="00D72076"/>
    <w:rsid w:val="00D7216D"/>
    <w:rsid w:val="00D7257B"/>
    <w:rsid w:val="00D725E1"/>
    <w:rsid w:val="00D72F69"/>
    <w:rsid w:val="00D7303C"/>
    <w:rsid w:val="00D7313D"/>
    <w:rsid w:val="00D7335F"/>
    <w:rsid w:val="00D7356C"/>
    <w:rsid w:val="00D7361C"/>
    <w:rsid w:val="00D73814"/>
    <w:rsid w:val="00D7398B"/>
    <w:rsid w:val="00D73A45"/>
    <w:rsid w:val="00D73B0E"/>
    <w:rsid w:val="00D73BA6"/>
    <w:rsid w:val="00D73D14"/>
    <w:rsid w:val="00D73F0F"/>
    <w:rsid w:val="00D73FC2"/>
    <w:rsid w:val="00D7422E"/>
    <w:rsid w:val="00D74264"/>
    <w:rsid w:val="00D74356"/>
    <w:rsid w:val="00D744B0"/>
    <w:rsid w:val="00D74C4F"/>
    <w:rsid w:val="00D74EBE"/>
    <w:rsid w:val="00D752A5"/>
    <w:rsid w:val="00D7550C"/>
    <w:rsid w:val="00D7583D"/>
    <w:rsid w:val="00D75AFB"/>
    <w:rsid w:val="00D75B48"/>
    <w:rsid w:val="00D75E23"/>
    <w:rsid w:val="00D75E5E"/>
    <w:rsid w:val="00D75F25"/>
    <w:rsid w:val="00D76014"/>
    <w:rsid w:val="00D76025"/>
    <w:rsid w:val="00D7609B"/>
    <w:rsid w:val="00D76261"/>
    <w:rsid w:val="00D76357"/>
    <w:rsid w:val="00D765A6"/>
    <w:rsid w:val="00D7679E"/>
    <w:rsid w:val="00D76B32"/>
    <w:rsid w:val="00D76D6B"/>
    <w:rsid w:val="00D76D88"/>
    <w:rsid w:val="00D770CA"/>
    <w:rsid w:val="00D775ED"/>
    <w:rsid w:val="00D779BB"/>
    <w:rsid w:val="00D77DDB"/>
    <w:rsid w:val="00D77FD2"/>
    <w:rsid w:val="00D801CE"/>
    <w:rsid w:val="00D802D7"/>
    <w:rsid w:val="00D806A3"/>
    <w:rsid w:val="00D80799"/>
    <w:rsid w:val="00D807C1"/>
    <w:rsid w:val="00D80B30"/>
    <w:rsid w:val="00D80CBA"/>
    <w:rsid w:val="00D80E14"/>
    <w:rsid w:val="00D80E8E"/>
    <w:rsid w:val="00D80F98"/>
    <w:rsid w:val="00D8135A"/>
    <w:rsid w:val="00D815E5"/>
    <w:rsid w:val="00D8168D"/>
    <w:rsid w:val="00D81701"/>
    <w:rsid w:val="00D818F9"/>
    <w:rsid w:val="00D81B01"/>
    <w:rsid w:val="00D81CF8"/>
    <w:rsid w:val="00D81D09"/>
    <w:rsid w:val="00D81EEC"/>
    <w:rsid w:val="00D82082"/>
    <w:rsid w:val="00D822A0"/>
    <w:rsid w:val="00D8256E"/>
    <w:rsid w:val="00D826BA"/>
    <w:rsid w:val="00D826E4"/>
    <w:rsid w:val="00D828E4"/>
    <w:rsid w:val="00D828ED"/>
    <w:rsid w:val="00D82CF1"/>
    <w:rsid w:val="00D82D42"/>
    <w:rsid w:val="00D82EFD"/>
    <w:rsid w:val="00D8318D"/>
    <w:rsid w:val="00D83395"/>
    <w:rsid w:val="00D834A6"/>
    <w:rsid w:val="00D8351E"/>
    <w:rsid w:val="00D835A3"/>
    <w:rsid w:val="00D835E7"/>
    <w:rsid w:val="00D83610"/>
    <w:rsid w:val="00D83F5B"/>
    <w:rsid w:val="00D84725"/>
    <w:rsid w:val="00D8476B"/>
    <w:rsid w:val="00D84785"/>
    <w:rsid w:val="00D84929"/>
    <w:rsid w:val="00D84BDC"/>
    <w:rsid w:val="00D8507B"/>
    <w:rsid w:val="00D8514C"/>
    <w:rsid w:val="00D8526A"/>
    <w:rsid w:val="00D85816"/>
    <w:rsid w:val="00D85A11"/>
    <w:rsid w:val="00D85AAC"/>
    <w:rsid w:val="00D85ACE"/>
    <w:rsid w:val="00D85BA5"/>
    <w:rsid w:val="00D85DB5"/>
    <w:rsid w:val="00D85E1C"/>
    <w:rsid w:val="00D86044"/>
    <w:rsid w:val="00D86377"/>
    <w:rsid w:val="00D864AE"/>
    <w:rsid w:val="00D86511"/>
    <w:rsid w:val="00D8672E"/>
    <w:rsid w:val="00D86AA0"/>
    <w:rsid w:val="00D86D87"/>
    <w:rsid w:val="00D871DB"/>
    <w:rsid w:val="00D87430"/>
    <w:rsid w:val="00D8747D"/>
    <w:rsid w:val="00D87BA2"/>
    <w:rsid w:val="00D87CD5"/>
    <w:rsid w:val="00D87D57"/>
    <w:rsid w:val="00D87DDF"/>
    <w:rsid w:val="00D903E7"/>
    <w:rsid w:val="00D90413"/>
    <w:rsid w:val="00D9045F"/>
    <w:rsid w:val="00D90739"/>
    <w:rsid w:val="00D90916"/>
    <w:rsid w:val="00D909BC"/>
    <w:rsid w:val="00D90A24"/>
    <w:rsid w:val="00D90D29"/>
    <w:rsid w:val="00D90D2B"/>
    <w:rsid w:val="00D90E90"/>
    <w:rsid w:val="00D91101"/>
    <w:rsid w:val="00D91112"/>
    <w:rsid w:val="00D9112B"/>
    <w:rsid w:val="00D9134A"/>
    <w:rsid w:val="00D91381"/>
    <w:rsid w:val="00D913D6"/>
    <w:rsid w:val="00D9157C"/>
    <w:rsid w:val="00D91957"/>
    <w:rsid w:val="00D91B13"/>
    <w:rsid w:val="00D91DD1"/>
    <w:rsid w:val="00D91E17"/>
    <w:rsid w:val="00D922E4"/>
    <w:rsid w:val="00D9247C"/>
    <w:rsid w:val="00D925F6"/>
    <w:rsid w:val="00D9278B"/>
    <w:rsid w:val="00D92820"/>
    <w:rsid w:val="00D92866"/>
    <w:rsid w:val="00D92BC2"/>
    <w:rsid w:val="00D92C9B"/>
    <w:rsid w:val="00D92E5A"/>
    <w:rsid w:val="00D93161"/>
    <w:rsid w:val="00D93339"/>
    <w:rsid w:val="00D934E4"/>
    <w:rsid w:val="00D93533"/>
    <w:rsid w:val="00D93571"/>
    <w:rsid w:val="00D935B9"/>
    <w:rsid w:val="00D9375B"/>
    <w:rsid w:val="00D93799"/>
    <w:rsid w:val="00D939F5"/>
    <w:rsid w:val="00D93ABF"/>
    <w:rsid w:val="00D93BB1"/>
    <w:rsid w:val="00D94548"/>
    <w:rsid w:val="00D9456F"/>
    <w:rsid w:val="00D947E4"/>
    <w:rsid w:val="00D94803"/>
    <w:rsid w:val="00D94AA7"/>
    <w:rsid w:val="00D94AA9"/>
    <w:rsid w:val="00D94AF8"/>
    <w:rsid w:val="00D94B54"/>
    <w:rsid w:val="00D94BBB"/>
    <w:rsid w:val="00D94C8A"/>
    <w:rsid w:val="00D94DC6"/>
    <w:rsid w:val="00D956CA"/>
    <w:rsid w:val="00D95854"/>
    <w:rsid w:val="00D9590E"/>
    <w:rsid w:val="00D95966"/>
    <w:rsid w:val="00D95A01"/>
    <w:rsid w:val="00D95D2C"/>
    <w:rsid w:val="00D95EE1"/>
    <w:rsid w:val="00D95F34"/>
    <w:rsid w:val="00D95F42"/>
    <w:rsid w:val="00D95FE6"/>
    <w:rsid w:val="00D9619A"/>
    <w:rsid w:val="00D961D3"/>
    <w:rsid w:val="00D967E0"/>
    <w:rsid w:val="00D96C7E"/>
    <w:rsid w:val="00D96E7B"/>
    <w:rsid w:val="00D96E7E"/>
    <w:rsid w:val="00D9723D"/>
    <w:rsid w:val="00D974CC"/>
    <w:rsid w:val="00D97952"/>
    <w:rsid w:val="00D979B4"/>
    <w:rsid w:val="00D97A35"/>
    <w:rsid w:val="00D97AE1"/>
    <w:rsid w:val="00D97BD5"/>
    <w:rsid w:val="00D97D01"/>
    <w:rsid w:val="00D97D07"/>
    <w:rsid w:val="00D97DBD"/>
    <w:rsid w:val="00D97DEE"/>
    <w:rsid w:val="00D97E21"/>
    <w:rsid w:val="00D97E9E"/>
    <w:rsid w:val="00DA090E"/>
    <w:rsid w:val="00DA0B79"/>
    <w:rsid w:val="00DA0BC4"/>
    <w:rsid w:val="00DA0D0C"/>
    <w:rsid w:val="00DA1094"/>
    <w:rsid w:val="00DA13F3"/>
    <w:rsid w:val="00DA164A"/>
    <w:rsid w:val="00DA1A35"/>
    <w:rsid w:val="00DA1AF9"/>
    <w:rsid w:val="00DA1FAE"/>
    <w:rsid w:val="00DA2072"/>
    <w:rsid w:val="00DA20AD"/>
    <w:rsid w:val="00DA2168"/>
    <w:rsid w:val="00DA221F"/>
    <w:rsid w:val="00DA2281"/>
    <w:rsid w:val="00DA22A6"/>
    <w:rsid w:val="00DA2495"/>
    <w:rsid w:val="00DA2547"/>
    <w:rsid w:val="00DA2667"/>
    <w:rsid w:val="00DA27EF"/>
    <w:rsid w:val="00DA2878"/>
    <w:rsid w:val="00DA288D"/>
    <w:rsid w:val="00DA2971"/>
    <w:rsid w:val="00DA2981"/>
    <w:rsid w:val="00DA2DF8"/>
    <w:rsid w:val="00DA2DF9"/>
    <w:rsid w:val="00DA2FD8"/>
    <w:rsid w:val="00DA30D6"/>
    <w:rsid w:val="00DA310E"/>
    <w:rsid w:val="00DA3183"/>
    <w:rsid w:val="00DA3250"/>
    <w:rsid w:val="00DA33A5"/>
    <w:rsid w:val="00DA35AE"/>
    <w:rsid w:val="00DA362B"/>
    <w:rsid w:val="00DA38C8"/>
    <w:rsid w:val="00DA39E3"/>
    <w:rsid w:val="00DA3AD2"/>
    <w:rsid w:val="00DA3DF0"/>
    <w:rsid w:val="00DA4238"/>
    <w:rsid w:val="00DA430C"/>
    <w:rsid w:val="00DA439F"/>
    <w:rsid w:val="00DA4415"/>
    <w:rsid w:val="00DA46F9"/>
    <w:rsid w:val="00DA4923"/>
    <w:rsid w:val="00DA4A0B"/>
    <w:rsid w:val="00DA4E5C"/>
    <w:rsid w:val="00DA55F2"/>
    <w:rsid w:val="00DA573C"/>
    <w:rsid w:val="00DA581C"/>
    <w:rsid w:val="00DA590B"/>
    <w:rsid w:val="00DA591E"/>
    <w:rsid w:val="00DA5971"/>
    <w:rsid w:val="00DA5992"/>
    <w:rsid w:val="00DA5CF1"/>
    <w:rsid w:val="00DA5D11"/>
    <w:rsid w:val="00DA5DB2"/>
    <w:rsid w:val="00DA5E23"/>
    <w:rsid w:val="00DA5F6B"/>
    <w:rsid w:val="00DA6071"/>
    <w:rsid w:val="00DA671A"/>
    <w:rsid w:val="00DA6B2A"/>
    <w:rsid w:val="00DA6BF9"/>
    <w:rsid w:val="00DA6E30"/>
    <w:rsid w:val="00DA6EC5"/>
    <w:rsid w:val="00DA711F"/>
    <w:rsid w:val="00DA717A"/>
    <w:rsid w:val="00DA71CE"/>
    <w:rsid w:val="00DA73F1"/>
    <w:rsid w:val="00DA7460"/>
    <w:rsid w:val="00DA752A"/>
    <w:rsid w:val="00DA7CBE"/>
    <w:rsid w:val="00DA7CF4"/>
    <w:rsid w:val="00DA7F24"/>
    <w:rsid w:val="00DB0177"/>
    <w:rsid w:val="00DB0344"/>
    <w:rsid w:val="00DB0429"/>
    <w:rsid w:val="00DB04A6"/>
    <w:rsid w:val="00DB052F"/>
    <w:rsid w:val="00DB0577"/>
    <w:rsid w:val="00DB0637"/>
    <w:rsid w:val="00DB0AF1"/>
    <w:rsid w:val="00DB0D99"/>
    <w:rsid w:val="00DB0DD0"/>
    <w:rsid w:val="00DB0EF9"/>
    <w:rsid w:val="00DB0FCD"/>
    <w:rsid w:val="00DB1047"/>
    <w:rsid w:val="00DB1056"/>
    <w:rsid w:val="00DB11AF"/>
    <w:rsid w:val="00DB161E"/>
    <w:rsid w:val="00DB181B"/>
    <w:rsid w:val="00DB1AD3"/>
    <w:rsid w:val="00DB1EB9"/>
    <w:rsid w:val="00DB23A7"/>
    <w:rsid w:val="00DB23E7"/>
    <w:rsid w:val="00DB2571"/>
    <w:rsid w:val="00DB25B0"/>
    <w:rsid w:val="00DB273C"/>
    <w:rsid w:val="00DB2848"/>
    <w:rsid w:val="00DB2C8D"/>
    <w:rsid w:val="00DB2C93"/>
    <w:rsid w:val="00DB2E56"/>
    <w:rsid w:val="00DB2F1D"/>
    <w:rsid w:val="00DB3102"/>
    <w:rsid w:val="00DB312C"/>
    <w:rsid w:val="00DB3144"/>
    <w:rsid w:val="00DB359E"/>
    <w:rsid w:val="00DB3805"/>
    <w:rsid w:val="00DB3A66"/>
    <w:rsid w:val="00DB3AD9"/>
    <w:rsid w:val="00DB3AF6"/>
    <w:rsid w:val="00DB3BDF"/>
    <w:rsid w:val="00DB3E77"/>
    <w:rsid w:val="00DB4595"/>
    <w:rsid w:val="00DB46C0"/>
    <w:rsid w:val="00DB46CF"/>
    <w:rsid w:val="00DB49F2"/>
    <w:rsid w:val="00DB4ED1"/>
    <w:rsid w:val="00DB507F"/>
    <w:rsid w:val="00DB528A"/>
    <w:rsid w:val="00DB5362"/>
    <w:rsid w:val="00DB5420"/>
    <w:rsid w:val="00DB5551"/>
    <w:rsid w:val="00DB5555"/>
    <w:rsid w:val="00DB55AE"/>
    <w:rsid w:val="00DB571A"/>
    <w:rsid w:val="00DB5A08"/>
    <w:rsid w:val="00DB5BE9"/>
    <w:rsid w:val="00DB5CF5"/>
    <w:rsid w:val="00DB5D8A"/>
    <w:rsid w:val="00DB5D93"/>
    <w:rsid w:val="00DB60F8"/>
    <w:rsid w:val="00DB6188"/>
    <w:rsid w:val="00DB6409"/>
    <w:rsid w:val="00DB64FA"/>
    <w:rsid w:val="00DB6737"/>
    <w:rsid w:val="00DB6DC1"/>
    <w:rsid w:val="00DB7036"/>
    <w:rsid w:val="00DB719B"/>
    <w:rsid w:val="00DB71A9"/>
    <w:rsid w:val="00DB73DC"/>
    <w:rsid w:val="00DB74ED"/>
    <w:rsid w:val="00DB7550"/>
    <w:rsid w:val="00DB7566"/>
    <w:rsid w:val="00DB77C7"/>
    <w:rsid w:val="00DB7874"/>
    <w:rsid w:val="00DB7A0B"/>
    <w:rsid w:val="00DB7B4B"/>
    <w:rsid w:val="00DB7DAF"/>
    <w:rsid w:val="00DC022A"/>
    <w:rsid w:val="00DC052E"/>
    <w:rsid w:val="00DC05F9"/>
    <w:rsid w:val="00DC067B"/>
    <w:rsid w:val="00DC06C8"/>
    <w:rsid w:val="00DC0821"/>
    <w:rsid w:val="00DC08E4"/>
    <w:rsid w:val="00DC0C3A"/>
    <w:rsid w:val="00DC0C88"/>
    <w:rsid w:val="00DC0EDF"/>
    <w:rsid w:val="00DC1061"/>
    <w:rsid w:val="00DC10CB"/>
    <w:rsid w:val="00DC10D1"/>
    <w:rsid w:val="00DC1426"/>
    <w:rsid w:val="00DC14EB"/>
    <w:rsid w:val="00DC1755"/>
    <w:rsid w:val="00DC1893"/>
    <w:rsid w:val="00DC19DA"/>
    <w:rsid w:val="00DC1C39"/>
    <w:rsid w:val="00DC1CAF"/>
    <w:rsid w:val="00DC20B4"/>
    <w:rsid w:val="00DC2429"/>
    <w:rsid w:val="00DC2710"/>
    <w:rsid w:val="00DC28E4"/>
    <w:rsid w:val="00DC2A1F"/>
    <w:rsid w:val="00DC2A44"/>
    <w:rsid w:val="00DC2BAE"/>
    <w:rsid w:val="00DC2C12"/>
    <w:rsid w:val="00DC2DC0"/>
    <w:rsid w:val="00DC2E52"/>
    <w:rsid w:val="00DC2E60"/>
    <w:rsid w:val="00DC2FD1"/>
    <w:rsid w:val="00DC335A"/>
    <w:rsid w:val="00DC3484"/>
    <w:rsid w:val="00DC34FA"/>
    <w:rsid w:val="00DC3672"/>
    <w:rsid w:val="00DC3685"/>
    <w:rsid w:val="00DC37AE"/>
    <w:rsid w:val="00DC3DD2"/>
    <w:rsid w:val="00DC3E16"/>
    <w:rsid w:val="00DC3E75"/>
    <w:rsid w:val="00DC44F9"/>
    <w:rsid w:val="00DC4B2E"/>
    <w:rsid w:val="00DC4BF1"/>
    <w:rsid w:val="00DC4C95"/>
    <w:rsid w:val="00DC4D3B"/>
    <w:rsid w:val="00DC4DF1"/>
    <w:rsid w:val="00DC5009"/>
    <w:rsid w:val="00DC5113"/>
    <w:rsid w:val="00DC5248"/>
    <w:rsid w:val="00DC53C6"/>
    <w:rsid w:val="00DC5503"/>
    <w:rsid w:val="00DC560F"/>
    <w:rsid w:val="00DC5782"/>
    <w:rsid w:val="00DC5AAE"/>
    <w:rsid w:val="00DC5EDC"/>
    <w:rsid w:val="00DC5EE8"/>
    <w:rsid w:val="00DC6313"/>
    <w:rsid w:val="00DC6651"/>
    <w:rsid w:val="00DC66F9"/>
    <w:rsid w:val="00DC6849"/>
    <w:rsid w:val="00DC6B5F"/>
    <w:rsid w:val="00DC71E1"/>
    <w:rsid w:val="00DC755F"/>
    <w:rsid w:val="00DC79D3"/>
    <w:rsid w:val="00DC7B76"/>
    <w:rsid w:val="00DC7C9E"/>
    <w:rsid w:val="00DC7FA8"/>
    <w:rsid w:val="00DD02FF"/>
    <w:rsid w:val="00DD0674"/>
    <w:rsid w:val="00DD07A9"/>
    <w:rsid w:val="00DD07C9"/>
    <w:rsid w:val="00DD09C6"/>
    <w:rsid w:val="00DD0A8D"/>
    <w:rsid w:val="00DD0CDA"/>
    <w:rsid w:val="00DD0DAB"/>
    <w:rsid w:val="00DD0E41"/>
    <w:rsid w:val="00DD0ECA"/>
    <w:rsid w:val="00DD0EE2"/>
    <w:rsid w:val="00DD13D0"/>
    <w:rsid w:val="00DD1460"/>
    <w:rsid w:val="00DD1AAF"/>
    <w:rsid w:val="00DD1B56"/>
    <w:rsid w:val="00DD1B9A"/>
    <w:rsid w:val="00DD1D2E"/>
    <w:rsid w:val="00DD1E96"/>
    <w:rsid w:val="00DD20D4"/>
    <w:rsid w:val="00DD2264"/>
    <w:rsid w:val="00DD238F"/>
    <w:rsid w:val="00DD24A1"/>
    <w:rsid w:val="00DD25F4"/>
    <w:rsid w:val="00DD27DA"/>
    <w:rsid w:val="00DD28A6"/>
    <w:rsid w:val="00DD2B2D"/>
    <w:rsid w:val="00DD2BA8"/>
    <w:rsid w:val="00DD2C0D"/>
    <w:rsid w:val="00DD2E3F"/>
    <w:rsid w:val="00DD2EFF"/>
    <w:rsid w:val="00DD30AD"/>
    <w:rsid w:val="00DD3104"/>
    <w:rsid w:val="00DD316C"/>
    <w:rsid w:val="00DD32A9"/>
    <w:rsid w:val="00DD3363"/>
    <w:rsid w:val="00DD33C0"/>
    <w:rsid w:val="00DD3556"/>
    <w:rsid w:val="00DD36BD"/>
    <w:rsid w:val="00DD37A0"/>
    <w:rsid w:val="00DD37A7"/>
    <w:rsid w:val="00DD3B44"/>
    <w:rsid w:val="00DD3C74"/>
    <w:rsid w:val="00DD3C83"/>
    <w:rsid w:val="00DD3D2A"/>
    <w:rsid w:val="00DD3D8C"/>
    <w:rsid w:val="00DD3E0F"/>
    <w:rsid w:val="00DD3E1E"/>
    <w:rsid w:val="00DD4085"/>
    <w:rsid w:val="00DD4182"/>
    <w:rsid w:val="00DD41C1"/>
    <w:rsid w:val="00DD4239"/>
    <w:rsid w:val="00DD42BF"/>
    <w:rsid w:val="00DD43EE"/>
    <w:rsid w:val="00DD444C"/>
    <w:rsid w:val="00DD4A8B"/>
    <w:rsid w:val="00DD4AD6"/>
    <w:rsid w:val="00DD4B87"/>
    <w:rsid w:val="00DD4FEA"/>
    <w:rsid w:val="00DD5073"/>
    <w:rsid w:val="00DD513C"/>
    <w:rsid w:val="00DD527C"/>
    <w:rsid w:val="00DD53CA"/>
    <w:rsid w:val="00DD57F9"/>
    <w:rsid w:val="00DD5855"/>
    <w:rsid w:val="00DD5867"/>
    <w:rsid w:val="00DD5938"/>
    <w:rsid w:val="00DD59E1"/>
    <w:rsid w:val="00DD60FF"/>
    <w:rsid w:val="00DD618B"/>
    <w:rsid w:val="00DD62A0"/>
    <w:rsid w:val="00DD6402"/>
    <w:rsid w:val="00DD670B"/>
    <w:rsid w:val="00DD6C19"/>
    <w:rsid w:val="00DD6EC3"/>
    <w:rsid w:val="00DD6FB3"/>
    <w:rsid w:val="00DD72A6"/>
    <w:rsid w:val="00DD742C"/>
    <w:rsid w:val="00DD74CA"/>
    <w:rsid w:val="00DD786A"/>
    <w:rsid w:val="00DD79B5"/>
    <w:rsid w:val="00DD7A45"/>
    <w:rsid w:val="00DD7BC7"/>
    <w:rsid w:val="00DD7BEA"/>
    <w:rsid w:val="00DD7E5D"/>
    <w:rsid w:val="00DD7F3D"/>
    <w:rsid w:val="00DE0024"/>
    <w:rsid w:val="00DE03E0"/>
    <w:rsid w:val="00DE0DFB"/>
    <w:rsid w:val="00DE0E44"/>
    <w:rsid w:val="00DE0F2B"/>
    <w:rsid w:val="00DE1016"/>
    <w:rsid w:val="00DE1107"/>
    <w:rsid w:val="00DE131E"/>
    <w:rsid w:val="00DE1417"/>
    <w:rsid w:val="00DE1647"/>
    <w:rsid w:val="00DE19D7"/>
    <w:rsid w:val="00DE1B2D"/>
    <w:rsid w:val="00DE1E3D"/>
    <w:rsid w:val="00DE1EB2"/>
    <w:rsid w:val="00DE21D5"/>
    <w:rsid w:val="00DE2481"/>
    <w:rsid w:val="00DE29CE"/>
    <w:rsid w:val="00DE2AA4"/>
    <w:rsid w:val="00DE2E74"/>
    <w:rsid w:val="00DE30A8"/>
    <w:rsid w:val="00DE30BE"/>
    <w:rsid w:val="00DE30D3"/>
    <w:rsid w:val="00DE31F3"/>
    <w:rsid w:val="00DE320B"/>
    <w:rsid w:val="00DE3216"/>
    <w:rsid w:val="00DE340E"/>
    <w:rsid w:val="00DE3551"/>
    <w:rsid w:val="00DE37BD"/>
    <w:rsid w:val="00DE38A9"/>
    <w:rsid w:val="00DE38AF"/>
    <w:rsid w:val="00DE3AB8"/>
    <w:rsid w:val="00DE3B7D"/>
    <w:rsid w:val="00DE3B87"/>
    <w:rsid w:val="00DE3DCE"/>
    <w:rsid w:val="00DE4112"/>
    <w:rsid w:val="00DE43EA"/>
    <w:rsid w:val="00DE4425"/>
    <w:rsid w:val="00DE4C75"/>
    <w:rsid w:val="00DE51E6"/>
    <w:rsid w:val="00DE5229"/>
    <w:rsid w:val="00DE534C"/>
    <w:rsid w:val="00DE5414"/>
    <w:rsid w:val="00DE57F3"/>
    <w:rsid w:val="00DE58A7"/>
    <w:rsid w:val="00DE58C2"/>
    <w:rsid w:val="00DE5BDC"/>
    <w:rsid w:val="00DE5E4A"/>
    <w:rsid w:val="00DE6145"/>
    <w:rsid w:val="00DE623C"/>
    <w:rsid w:val="00DE62DE"/>
    <w:rsid w:val="00DE62DF"/>
    <w:rsid w:val="00DE6349"/>
    <w:rsid w:val="00DE6431"/>
    <w:rsid w:val="00DE64F2"/>
    <w:rsid w:val="00DE6501"/>
    <w:rsid w:val="00DE660D"/>
    <w:rsid w:val="00DE6774"/>
    <w:rsid w:val="00DE6A6D"/>
    <w:rsid w:val="00DE6A7A"/>
    <w:rsid w:val="00DE6C75"/>
    <w:rsid w:val="00DE6CA4"/>
    <w:rsid w:val="00DE6CED"/>
    <w:rsid w:val="00DE7108"/>
    <w:rsid w:val="00DE72D3"/>
    <w:rsid w:val="00DE7FB1"/>
    <w:rsid w:val="00DF0012"/>
    <w:rsid w:val="00DF0066"/>
    <w:rsid w:val="00DF0283"/>
    <w:rsid w:val="00DF0316"/>
    <w:rsid w:val="00DF0390"/>
    <w:rsid w:val="00DF03DF"/>
    <w:rsid w:val="00DF0621"/>
    <w:rsid w:val="00DF0697"/>
    <w:rsid w:val="00DF08BE"/>
    <w:rsid w:val="00DF0932"/>
    <w:rsid w:val="00DF0998"/>
    <w:rsid w:val="00DF0A9E"/>
    <w:rsid w:val="00DF0ABE"/>
    <w:rsid w:val="00DF0C42"/>
    <w:rsid w:val="00DF0D8C"/>
    <w:rsid w:val="00DF0F42"/>
    <w:rsid w:val="00DF0F4E"/>
    <w:rsid w:val="00DF0FAE"/>
    <w:rsid w:val="00DF136A"/>
    <w:rsid w:val="00DF139E"/>
    <w:rsid w:val="00DF13A7"/>
    <w:rsid w:val="00DF13F3"/>
    <w:rsid w:val="00DF17D7"/>
    <w:rsid w:val="00DF1831"/>
    <w:rsid w:val="00DF1940"/>
    <w:rsid w:val="00DF1961"/>
    <w:rsid w:val="00DF1998"/>
    <w:rsid w:val="00DF1B13"/>
    <w:rsid w:val="00DF1BA1"/>
    <w:rsid w:val="00DF1DED"/>
    <w:rsid w:val="00DF1F80"/>
    <w:rsid w:val="00DF2094"/>
    <w:rsid w:val="00DF22C4"/>
    <w:rsid w:val="00DF23C7"/>
    <w:rsid w:val="00DF2990"/>
    <w:rsid w:val="00DF2F4B"/>
    <w:rsid w:val="00DF2FC7"/>
    <w:rsid w:val="00DF2FCD"/>
    <w:rsid w:val="00DF3075"/>
    <w:rsid w:val="00DF30BD"/>
    <w:rsid w:val="00DF322F"/>
    <w:rsid w:val="00DF336C"/>
    <w:rsid w:val="00DF3488"/>
    <w:rsid w:val="00DF3886"/>
    <w:rsid w:val="00DF39F2"/>
    <w:rsid w:val="00DF3DB0"/>
    <w:rsid w:val="00DF3F10"/>
    <w:rsid w:val="00DF3F3E"/>
    <w:rsid w:val="00DF400F"/>
    <w:rsid w:val="00DF4124"/>
    <w:rsid w:val="00DF4169"/>
    <w:rsid w:val="00DF422D"/>
    <w:rsid w:val="00DF4273"/>
    <w:rsid w:val="00DF42E4"/>
    <w:rsid w:val="00DF43DD"/>
    <w:rsid w:val="00DF448B"/>
    <w:rsid w:val="00DF46BE"/>
    <w:rsid w:val="00DF4C10"/>
    <w:rsid w:val="00DF4C15"/>
    <w:rsid w:val="00DF4C43"/>
    <w:rsid w:val="00DF4C5E"/>
    <w:rsid w:val="00DF4C67"/>
    <w:rsid w:val="00DF4C9F"/>
    <w:rsid w:val="00DF50CC"/>
    <w:rsid w:val="00DF54CE"/>
    <w:rsid w:val="00DF56CD"/>
    <w:rsid w:val="00DF57B4"/>
    <w:rsid w:val="00DF589C"/>
    <w:rsid w:val="00DF5AD4"/>
    <w:rsid w:val="00DF5EA2"/>
    <w:rsid w:val="00DF5F25"/>
    <w:rsid w:val="00DF61D8"/>
    <w:rsid w:val="00DF63A8"/>
    <w:rsid w:val="00DF64C8"/>
    <w:rsid w:val="00DF64D6"/>
    <w:rsid w:val="00DF666E"/>
    <w:rsid w:val="00DF6675"/>
    <w:rsid w:val="00DF6D80"/>
    <w:rsid w:val="00DF73EB"/>
    <w:rsid w:val="00DF760B"/>
    <w:rsid w:val="00DF78D7"/>
    <w:rsid w:val="00DF790E"/>
    <w:rsid w:val="00DF7A01"/>
    <w:rsid w:val="00DF7BF8"/>
    <w:rsid w:val="00DF7E54"/>
    <w:rsid w:val="00E00042"/>
    <w:rsid w:val="00E001A0"/>
    <w:rsid w:val="00E00251"/>
    <w:rsid w:val="00E004BC"/>
    <w:rsid w:val="00E005BF"/>
    <w:rsid w:val="00E0064D"/>
    <w:rsid w:val="00E00758"/>
    <w:rsid w:val="00E00A0E"/>
    <w:rsid w:val="00E00A4E"/>
    <w:rsid w:val="00E00C75"/>
    <w:rsid w:val="00E00D3F"/>
    <w:rsid w:val="00E00F6F"/>
    <w:rsid w:val="00E016C2"/>
    <w:rsid w:val="00E01744"/>
    <w:rsid w:val="00E01962"/>
    <w:rsid w:val="00E01A59"/>
    <w:rsid w:val="00E01C12"/>
    <w:rsid w:val="00E01C93"/>
    <w:rsid w:val="00E021A5"/>
    <w:rsid w:val="00E0248F"/>
    <w:rsid w:val="00E025AD"/>
    <w:rsid w:val="00E02CA6"/>
    <w:rsid w:val="00E03129"/>
    <w:rsid w:val="00E0364F"/>
    <w:rsid w:val="00E036B1"/>
    <w:rsid w:val="00E0390F"/>
    <w:rsid w:val="00E03C15"/>
    <w:rsid w:val="00E03E1C"/>
    <w:rsid w:val="00E03E8C"/>
    <w:rsid w:val="00E03F58"/>
    <w:rsid w:val="00E04213"/>
    <w:rsid w:val="00E04280"/>
    <w:rsid w:val="00E04403"/>
    <w:rsid w:val="00E0458B"/>
    <w:rsid w:val="00E045E7"/>
    <w:rsid w:val="00E0461A"/>
    <w:rsid w:val="00E04655"/>
    <w:rsid w:val="00E047D0"/>
    <w:rsid w:val="00E047D2"/>
    <w:rsid w:val="00E047F2"/>
    <w:rsid w:val="00E0492B"/>
    <w:rsid w:val="00E04D7D"/>
    <w:rsid w:val="00E04F2A"/>
    <w:rsid w:val="00E05383"/>
    <w:rsid w:val="00E0540A"/>
    <w:rsid w:val="00E054DD"/>
    <w:rsid w:val="00E055B6"/>
    <w:rsid w:val="00E055E7"/>
    <w:rsid w:val="00E055F5"/>
    <w:rsid w:val="00E0568C"/>
    <w:rsid w:val="00E057B4"/>
    <w:rsid w:val="00E058C2"/>
    <w:rsid w:val="00E05A4A"/>
    <w:rsid w:val="00E05B27"/>
    <w:rsid w:val="00E05C28"/>
    <w:rsid w:val="00E05D95"/>
    <w:rsid w:val="00E05E35"/>
    <w:rsid w:val="00E05E5A"/>
    <w:rsid w:val="00E06216"/>
    <w:rsid w:val="00E06496"/>
    <w:rsid w:val="00E06505"/>
    <w:rsid w:val="00E065D0"/>
    <w:rsid w:val="00E06610"/>
    <w:rsid w:val="00E06663"/>
    <w:rsid w:val="00E06812"/>
    <w:rsid w:val="00E06CFD"/>
    <w:rsid w:val="00E06D8C"/>
    <w:rsid w:val="00E0707C"/>
    <w:rsid w:val="00E0728D"/>
    <w:rsid w:val="00E0733C"/>
    <w:rsid w:val="00E073F7"/>
    <w:rsid w:val="00E075AB"/>
    <w:rsid w:val="00E07665"/>
    <w:rsid w:val="00E076D1"/>
    <w:rsid w:val="00E0782A"/>
    <w:rsid w:val="00E079A7"/>
    <w:rsid w:val="00E07A10"/>
    <w:rsid w:val="00E07BDC"/>
    <w:rsid w:val="00E10002"/>
    <w:rsid w:val="00E10009"/>
    <w:rsid w:val="00E1019A"/>
    <w:rsid w:val="00E10361"/>
    <w:rsid w:val="00E103B8"/>
    <w:rsid w:val="00E10553"/>
    <w:rsid w:val="00E105BF"/>
    <w:rsid w:val="00E106D9"/>
    <w:rsid w:val="00E10A77"/>
    <w:rsid w:val="00E10AAA"/>
    <w:rsid w:val="00E10B42"/>
    <w:rsid w:val="00E10C67"/>
    <w:rsid w:val="00E10C89"/>
    <w:rsid w:val="00E10D43"/>
    <w:rsid w:val="00E10FB0"/>
    <w:rsid w:val="00E111A5"/>
    <w:rsid w:val="00E1128E"/>
    <w:rsid w:val="00E112AC"/>
    <w:rsid w:val="00E11339"/>
    <w:rsid w:val="00E1140B"/>
    <w:rsid w:val="00E1161F"/>
    <w:rsid w:val="00E11649"/>
    <w:rsid w:val="00E11665"/>
    <w:rsid w:val="00E11681"/>
    <w:rsid w:val="00E117AE"/>
    <w:rsid w:val="00E119D8"/>
    <w:rsid w:val="00E119E8"/>
    <w:rsid w:val="00E1214B"/>
    <w:rsid w:val="00E12566"/>
    <w:rsid w:val="00E12704"/>
    <w:rsid w:val="00E12801"/>
    <w:rsid w:val="00E12C07"/>
    <w:rsid w:val="00E12FB1"/>
    <w:rsid w:val="00E12FEA"/>
    <w:rsid w:val="00E12FF9"/>
    <w:rsid w:val="00E1304C"/>
    <w:rsid w:val="00E13203"/>
    <w:rsid w:val="00E133EF"/>
    <w:rsid w:val="00E13748"/>
    <w:rsid w:val="00E138A7"/>
    <w:rsid w:val="00E138EE"/>
    <w:rsid w:val="00E13AEA"/>
    <w:rsid w:val="00E13C5D"/>
    <w:rsid w:val="00E13E85"/>
    <w:rsid w:val="00E140B6"/>
    <w:rsid w:val="00E1410D"/>
    <w:rsid w:val="00E142E7"/>
    <w:rsid w:val="00E1431A"/>
    <w:rsid w:val="00E144C1"/>
    <w:rsid w:val="00E14810"/>
    <w:rsid w:val="00E148AF"/>
    <w:rsid w:val="00E14C0D"/>
    <w:rsid w:val="00E14C50"/>
    <w:rsid w:val="00E14D8E"/>
    <w:rsid w:val="00E14F64"/>
    <w:rsid w:val="00E15596"/>
    <w:rsid w:val="00E155E3"/>
    <w:rsid w:val="00E156B9"/>
    <w:rsid w:val="00E15839"/>
    <w:rsid w:val="00E15C69"/>
    <w:rsid w:val="00E15F76"/>
    <w:rsid w:val="00E16665"/>
    <w:rsid w:val="00E166A8"/>
    <w:rsid w:val="00E16704"/>
    <w:rsid w:val="00E16758"/>
    <w:rsid w:val="00E1679E"/>
    <w:rsid w:val="00E168FB"/>
    <w:rsid w:val="00E16970"/>
    <w:rsid w:val="00E16BC6"/>
    <w:rsid w:val="00E16E13"/>
    <w:rsid w:val="00E16E24"/>
    <w:rsid w:val="00E170F2"/>
    <w:rsid w:val="00E17288"/>
    <w:rsid w:val="00E174E0"/>
    <w:rsid w:val="00E175B9"/>
    <w:rsid w:val="00E17793"/>
    <w:rsid w:val="00E177D7"/>
    <w:rsid w:val="00E17944"/>
    <w:rsid w:val="00E179AA"/>
    <w:rsid w:val="00E17D5F"/>
    <w:rsid w:val="00E17DD2"/>
    <w:rsid w:val="00E17EFA"/>
    <w:rsid w:val="00E17F2A"/>
    <w:rsid w:val="00E17F77"/>
    <w:rsid w:val="00E17F7A"/>
    <w:rsid w:val="00E20030"/>
    <w:rsid w:val="00E200BD"/>
    <w:rsid w:val="00E204CB"/>
    <w:rsid w:val="00E205EE"/>
    <w:rsid w:val="00E2073E"/>
    <w:rsid w:val="00E20762"/>
    <w:rsid w:val="00E209A0"/>
    <w:rsid w:val="00E20AA3"/>
    <w:rsid w:val="00E20D71"/>
    <w:rsid w:val="00E20DB5"/>
    <w:rsid w:val="00E21145"/>
    <w:rsid w:val="00E2121E"/>
    <w:rsid w:val="00E2159F"/>
    <w:rsid w:val="00E215E0"/>
    <w:rsid w:val="00E21D37"/>
    <w:rsid w:val="00E21EF9"/>
    <w:rsid w:val="00E21FDD"/>
    <w:rsid w:val="00E22100"/>
    <w:rsid w:val="00E2233A"/>
    <w:rsid w:val="00E2247A"/>
    <w:rsid w:val="00E2279F"/>
    <w:rsid w:val="00E227B2"/>
    <w:rsid w:val="00E227EE"/>
    <w:rsid w:val="00E22EAF"/>
    <w:rsid w:val="00E230B9"/>
    <w:rsid w:val="00E23168"/>
    <w:rsid w:val="00E231A5"/>
    <w:rsid w:val="00E23224"/>
    <w:rsid w:val="00E232CE"/>
    <w:rsid w:val="00E234DF"/>
    <w:rsid w:val="00E23689"/>
    <w:rsid w:val="00E236D0"/>
    <w:rsid w:val="00E239F2"/>
    <w:rsid w:val="00E23CAC"/>
    <w:rsid w:val="00E240E7"/>
    <w:rsid w:val="00E243AD"/>
    <w:rsid w:val="00E2451E"/>
    <w:rsid w:val="00E24554"/>
    <w:rsid w:val="00E246C1"/>
    <w:rsid w:val="00E24A7C"/>
    <w:rsid w:val="00E24A98"/>
    <w:rsid w:val="00E24ACF"/>
    <w:rsid w:val="00E24C0C"/>
    <w:rsid w:val="00E24F34"/>
    <w:rsid w:val="00E25245"/>
    <w:rsid w:val="00E2544D"/>
    <w:rsid w:val="00E25517"/>
    <w:rsid w:val="00E257AD"/>
    <w:rsid w:val="00E258C0"/>
    <w:rsid w:val="00E258CA"/>
    <w:rsid w:val="00E25BFB"/>
    <w:rsid w:val="00E25C86"/>
    <w:rsid w:val="00E25E10"/>
    <w:rsid w:val="00E25E16"/>
    <w:rsid w:val="00E262AF"/>
    <w:rsid w:val="00E264E4"/>
    <w:rsid w:val="00E264F0"/>
    <w:rsid w:val="00E266C8"/>
    <w:rsid w:val="00E2678D"/>
    <w:rsid w:val="00E267DF"/>
    <w:rsid w:val="00E268E5"/>
    <w:rsid w:val="00E2694D"/>
    <w:rsid w:val="00E26A5B"/>
    <w:rsid w:val="00E26ADD"/>
    <w:rsid w:val="00E271B9"/>
    <w:rsid w:val="00E273CA"/>
    <w:rsid w:val="00E2759C"/>
    <w:rsid w:val="00E27ACC"/>
    <w:rsid w:val="00E27C53"/>
    <w:rsid w:val="00E27C81"/>
    <w:rsid w:val="00E27CAD"/>
    <w:rsid w:val="00E27F1D"/>
    <w:rsid w:val="00E3004A"/>
    <w:rsid w:val="00E30072"/>
    <w:rsid w:val="00E30130"/>
    <w:rsid w:val="00E302B1"/>
    <w:rsid w:val="00E307F8"/>
    <w:rsid w:val="00E3080B"/>
    <w:rsid w:val="00E30A80"/>
    <w:rsid w:val="00E30B79"/>
    <w:rsid w:val="00E30C47"/>
    <w:rsid w:val="00E30C85"/>
    <w:rsid w:val="00E30D99"/>
    <w:rsid w:val="00E30FD4"/>
    <w:rsid w:val="00E312E5"/>
    <w:rsid w:val="00E314F0"/>
    <w:rsid w:val="00E315B8"/>
    <w:rsid w:val="00E319FF"/>
    <w:rsid w:val="00E31C2A"/>
    <w:rsid w:val="00E31CCF"/>
    <w:rsid w:val="00E31ED6"/>
    <w:rsid w:val="00E32177"/>
    <w:rsid w:val="00E32223"/>
    <w:rsid w:val="00E324B9"/>
    <w:rsid w:val="00E324ED"/>
    <w:rsid w:val="00E32560"/>
    <w:rsid w:val="00E326BA"/>
    <w:rsid w:val="00E327B5"/>
    <w:rsid w:val="00E3287A"/>
    <w:rsid w:val="00E329E1"/>
    <w:rsid w:val="00E32FDA"/>
    <w:rsid w:val="00E33034"/>
    <w:rsid w:val="00E33049"/>
    <w:rsid w:val="00E330F3"/>
    <w:rsid w:val="00E3335C"/>
    <w:rsid w:val="00E3349C"/>
    <w:rsid w:val="00E339BE"/>
    <w:rsid w:val="00E339F2"/>
    <w:rsid w:val="00E33A4C"/>
    <w:rsid w:val="00E33DA4"/>
    <w:rsid w:val="00E33DCC"/>
    <w:rsid w:val="00E34567"/>
    <w:rsid w:val="00E345D1"/>
    <w:rsid w:val="00E3487E"/>
    <w:rsid w:val="00E34B12"/>
    <w:rsid w:val="00E35064"/>
    <w:rsid w:val="00E35764"/>
    <w:rsid w:val="00E357A5"/>
    <w:rsid w:val="00E35A4A"/>
    <w:rsid w:val="00E35BA4"/>
    <w:rsid w:val="00E35C59"/>
    <w:rsid w:val="00E35D31"/>
    <w:rsid w:val="00E35D39"/>
    <w:rsid w:val="00E35E5F"/>
    <w:rsid w:val="00E35F3C"/>
    <w:rsid w:val="00E35FF3"/>
    <w:rsid w:val="00E361F0"/>
    <w:rsid w:val="00E362F8"/>
    <w:rsid w:val="00E36486"/>
    <w:rsid w:val="00E36734"/>
    <w:rsid w:val="00E3684C"/>
    <w:rsid w:val="00E36A74"/>
    <w:rsid w:val="00E36AF9"/>
    <w:rsid w:val="00E36B3D"/>
    <w:rsid w:val="00E36E24"/>
    <w:rsid w:val="00E37212"/>
    <w:rsid w:val="00E37355"/>
    <w:rsid w:val="00E37389"/>
    <w:rsid w:val="00E375B1"/>
    <w:rsid w:val="00E37857"/>
    <w:rsid w:val="00E37EBA"/>
    <w:rsid w:val="00E40040"/>
    <w:rsid w:val="00E400CA"/>
    <w:rsid w:val="00E4013C"/>
    <w:rsid w:val="00E401E7"/>
    <w:rsid w:val="00E4049E"/>
    <w:rsid w:val="00E404A0"/>
    <w:rsid w:val="00E4063F"/>
    <w:rsid w:val="00E40FD4"/>
    <w:rsid w:val="00E419D9"/>
    <w:rsid w:val="00E41ACA"/>
    <w:rsid w:val="00E41B54"/>
    <w:rsid w:val="00E4214A"/>
    <w:rsid w:val="00E421D2"/>
    <w:rsid w:val="00E4235E"/>
    <w:rsid w:val="00E42578"/>
    <w:rsid w:val="00E4267D"/>
    <w:rsid w:val="00E42830"/>
    <w:rsid w:val="00E42CBD"/>
    <w:rsid w:val="00E42ED8"/>
    <w:rsid w:val="00E430CA"/>
    <w:rsid w:val="00E43111"/>
    <w:rsid w:val="00E43459"/>
    <w:rsid w:val="00E434B1"/>
    <w:rsid w:val="00E43585"/>
    <w:rsid w:val="00E43631"/>
    <w:rsid w:val="00E43892"/>
    <w:rsid w:val="00E4392D"/>
    <w:rsid w:val="00E43B15"/>
    <w:rsid w:val="00E43EF2"/>
    <w:rsid w:val="00E441A2"/>
    <w:rsid w:val="00E4426E"/>
    <w:rsid w:val="00E44538"/>
    <w:rsid w:val="00E4470E"/>
    <w:rsid w:val="00E44870"/>
    <w:rsid w:val="00E44934"/>
    <w:rsid w:val="00E44A92"/>
    <w:rsid w:val="00E44C48"/>
    <w:rsid w:val="00E44D1F"/>
    <w:rsid w:val="00E45202"/>
    <w:rsid w:val="00E45644"/>
    <w:rsid w:val="00E45666"/>
    <w:rsid w:val="00E45681"/>
    <w:rsid w:val="00E45927"/>
    <w:rsid w:val="00E45AE9"/>
    <w:rsid w:val="00E45BFA"/>
    <w:rsid w:val="00E45CC2"/>
    <w:rsid w:val="00E45E0B"/>
    <w:rsid w:val="00E45EC8"/>
    <w:rsid w:val="00E45F2B"/>
    <w:rsid w:val="00E460B7"/>
    <w:rsid w:val="00E46436"/>
    <w:rsid w:val="00E4644C"/>
    <w:rsid w:val="00E465FF"/>
    <w:rsid w:val="00E46613"/>
    <w:rsid w:val="00E46877"/>
    <w:rsid w:val="00E4689F"/>
    <w:rsid w:val="00E468B7"/>
    <w:rsid w:val="00E468BF"/>
    <w:rsid w:val="00E46A42"/>
    <w:rsid w:val="00E46B6A"/>
    <w:rsid w:val="00E46D39"/>
    <w:rsid w:val="00E46D5D"/>
    <w:rsid w:val="00E47337"/>
    <w:rsid w:val="00E47536"/>
    <w:rsid w:val="00E4770C"/>
    <w:rsid w:val="00E477B5"/>
    <w:rsid w:val="00E478E1"/>
    <w:rsid w:val="00E47973"/>
    <w:rsid w:val="00E47A28"/>
    <w:rsid w:val="00E47A96"/>
    <w:rsid w:val="00E47B5D"/>
    <w:rsid w:val="00E47E8D"/>
    <w:rsid w:val="00E500CD"/>
    <w:rsid w:val="00E50413"/>
    <w:rsid w:val="00E507B7"/>
    <w:rsid w:val="00E509C8"/>
    <w:rsid w:val="00E50A04"/>
    <w:rsid w:val="00E50A61"/>
    <w:rsid w:val="00E50B4F"/>
    <w:rsid w:val="00E50B81"/>
    <w:rsid w:val="00E5110B"/>
    <w:rsid w:val="00E5131F"/>
    <w:rsid w:val="00E51BB8"/>
    <w:rsid w:val="00E51CB3"/>
    <w:rsid w:val="00E5202C"/>
    <w:rsid w:val="00E52334"/>
    <w:rsid w:val="00E52366"/>
    <w:rsid w:val="00E5236F"/>
    <w:rsid w:val="00E525AE"/>
    <w:rsid w:val="00E525BB"/>
    <w:rsid w:val="00E525D1"/>
    <w:rsid w:val="00E52944"/>
    <w:rsid w:val="00E5298D"/>
    <w:rsid w:val="00E529AD"/>
    <w:rsid w:val="00E52B4E"/>
    <w:rsid w:val="00E52B6B"/>
    <w:rsid w:val="00E52C02"/>
    <w:rsid w:val="00E52E64"/>
    <w:rsid w:val="00E52F7A"/>
    <w:rsid w:val="00E52FAE"/>
    <w:rsid w:val="00E53149"/>
    <w:rsid w:val="00E53320"/>
    <w:rsid w:val="00E534C6"/>
    <w:rsid w:val="00E53661"/>
    <w:rsid w:val="00E536E9"/>
    <w:rsid w:val="00E5372E"/>
    <w:rsid w:val="00E53864"/>
    <w:rsid w:val="00E539E5"/>
    <w:rsid w:val="00E53A31"/>
    <w:rsid w:val="00E53C98"/>
    <w:rsid w:val="00E53CCC"/>
    <w:rsid w:val="00E53D02"/>
    <w:rsid w:val="00E53FB5"/>
    <w:rsid w:val="00E54015"/>
    <w:rsid w:val="00E54109"/>
    <w:rsid w:val="00E54156"/>
    <w:rsid w:val="00E54196"/>
    <w:rsid w:val="00E54807"/>
    <w:rsid w:val="00E548D3"/>
    <w:rsid w:val="00E54A73"/>
    <w:rsid w:val="00E54A74"/>
    <w:rsid w:val="00E54D72"/>
    <w:rsid w:val="00E54EEA"/>
    <w:rsid w:val="00E551DF"/>
    <w:rsid w:val="00E5521F"/>
    <w:rsid w:val="00E55335"/>
    <w:rsid w:val="00E5536F"/>
    <w:rsid w:val="00E555A4"/>
    <w:rsid w:val="00E5583B"/>
    <w:rsid w:val="00E55887"/>
    <w:rsid w:val="00E55A27"/>
    <w:rsid w:val="00E55B8A"/>
    <w:rsid w:val="00E55EA0"/>
    <w:rsid w:val="00E55EC3"/>
    <w:rsid w:val="00E56053"/>
    <w:rsid w:val="00E5625F"/>
    <w:rsid w:val="00E5639F"/>
    <w:rsid w:val="00E5662A"/>
    <w:rsid w:val="00E5685E"/>
    <w:rsid w:val="00E56AA4"/>
    <w:rsid w:val="00E56AC6"/>
    <w:rsid w:val="00E57031"/>
    <w:rsid w:val="00E570AF"/>
    <w:rsid w:val="00E5711E"/>
    <w:rsid w:val="00E57137"/>
    <w:rsid w:val="00E573AE"/>
    <w:rsid w:val="00E573FF"/>
    <w:rsid w:val="00E577E3"/>
    <w:rsid w:val="00E5787C"/>
    <w:rsid w:val="00E57896"/>
    <w:rsid w:val="00E5790F"/>
    <w:rsid w:val="00E57956"/>
    <w:rsid w:val="00E57A16"/>
    <w:rsid w:val="00E57B0B"/>
    <w:rsid w:val="00E57C6F"/>
    <w:rsid w:val="00E57E0F"/>
    <w:rsid w:val="00E60105"/>
    <w:rsid w:val="00E6012D"/>
    <w:rsid w:val="00E601D2"/>
    <w:rsid w:val="00E60457"/>
    <w:rsid w:val="00E6051A"/>
    <w:rsid w:val="00E6061E"/>
    <w:rsid w:val="00E6096C"/>
    <w:rsid w:val="00E60BF8"/>
    <w:rsid w:val="00E60FDC"/>
    <w:rsid w:val="00E610D2"/>
    <w:rsid w:val="00E611F0"/>
    <w:rsid w:val="00E61254"/>
    <w:rsid w:val="00E61255"/>
    <w:rsid w:val="00E61511"/>
    <w:rsid w:val="00E615E0"/>
    <w:rsid w:val="00E61605"/>
    <w:rsid w:val="00E6185D"/>
    <w:rsid w:val="00E618E8"/>
    <w:rsid w:val="00E61CB4"/>
    <w:rsid w:val="00E61CC2"/>
    <w:rsid w:val="00E61F5E"/>
    <w:rsid w:val="00E6213E"/>
    <w:rsid w:val="00E62192"/>
    <w:rsid w:val="00E62298"/>
    <w:rsid w:val="00E6276E"/>
    <w:rsid w:val="00E62894"/>
    <w:rsid w:val="00E62AD4"/>
    <w:rsid w:val="00E62AF3"/>
    <w:rsid w:val="00E62B8B"/>
    <w:rsid w:val="00E62BF0"/>
    <w:rsid w:val="00E62DA4"/>
    <w:rsid w:val="00E62DF5"/>
    <w:rsid w:val="00E63009"/>
    <w:rsid w:val="00E63050"/>
    <w:rsid w:val="00E632A9"/>
    <w:rsid w:val="00E633DC"/>
    <w:rsid w:val="00E6342F"/>
    <w:rsid w:val="00E634E0"/>
    <w:rsid w:val="00E636FE"/>
    <w:rsid w:val="00E637AC"/>
    <w:rsid w:val="00E63EE3"/>
    <w:rsid w:val="00E63FBE"/>
    <w:rsid w:val="00E641C9"/>
    <w:rsid w:val="00E6431E"/>
    <w:rsid w:val="00E643F4"/>
    <w:rsid w:val="00E644FE"/>
    <w:rsid w:val="00E6488E"/>
    <w:rsid w:val="00E64B7F"/>
    <w:rsid w:val="00E64CE9"/>
    <w:rsid w:val="00E650B5"/>
    <w:rsid w:val="00E65256"/>
    <w:rsid w:val="00E653B4"/>
    <w:rsid w:val="00E65421"/>
    <w:rsid w:val="00E654A8"/>
    <w:rsid w:val="00E65605"/>
    <w:rsid w:val="00E65618"/>
    <w:rsid w:val="00E657A6"/>
    <w:rsid w:val="00E657A7"/>
    <w:rsid w:val="00E65A46"/>
    <w:rsid w:val="00E66252"/>
    <w:rsid w:val="00E6631B"/>
    <w:rsid w:val="00E664AA"/>
    <w:rsid w:val="00E66927"/>
    <w:rsid w:val="00E66BFF"/>
    <w:rsid w:val="00E66C15"/>
    <w:rsid w:val="00E66FF8"/>
    <w:rsid w:val="00E67070"/>
    <w:rsid w:val="00E67115"/>
    <w:rsid w:val="00E673E8"/>
    <w:rsid w:val="00E676E2"/>
    <w:rsid w:val="00E67968"/>
    <w:rsid w:val="00E679CB"/>
    <w:rsid w:val="00E67AF4"/>
    <w:rsid w:val="00E67B2F"/>
    <w:rsid w:val="00E70111"/>
    <w:rsid w:val="00E7014D"/>
    <w:rsid w:val="00E70170"/>
    <w:rsid w:val="00E701E3"/>
    <w:rsid w:val="00E7023B"/>
    <w:rsid w:val="00E70375"/>
    <w:rsid w:val="00E706F1"/>
    <w:rsid w:val="00E708F2"/>
    <w:rsid w:val="00E71133"/>
    <w:rsid w:val="00E71316"/>
    <w:rsid w:val="00E7139C"/>
    <w:rsid w:val="00E71B79"/>
    <w:rsid w:val="00E71E49"/>
    <w:rsid w:val="00E71E4F"/>
    <w:rsid w:val="00E720D5"/>
    <w:rsid w:val="00E72223"/>
    <w:rsid w:val="00E72259"/>
    <w:rsid w:val="00E72441"/>
    <w:rsid w:val="00E7245D"/>
    <w:rsid w:val="00E724E8"/>
    <w:rsid w:val="00E72616"/>
    <w:rsid w:val="00E72672"/>
    <w:rsid w:val="00E7273A"/>
    <w:rsid w:val="00E727F7"/>
    <w:rsid w:val="00E72886"/>
    <w:rsid w:val="00E72908"/>
    <w:rsid w:val="00E7293A"/>
    <w:rsid w:val="00E72AA6"/>
    <w:rsid w:val="00E72C16"/>
    <w:rsid w:val="00E72F3A"/>
    <w:rsid w:val="00E7320B"/>
    <w:rsid w:val="00E73373"/>
    <w:rsid w:val="00E7378B"/>
    <w:rsid w:val="00E737CC"/>
    <w:rsid w:val="00E738D3"/>
    <w:rsid w:val="00E73C76"/>
    <w:rsid w:val="00E73E11"/>
    <w:rsid w:val="00E73E53"/>
    <w:rsid w:val="00E73E72"/>
    <w:rsid w:val="00E73E8C"/>
    <w:rsid w:val="00E73F99"/>
    <w:rsid w:val="00E73FB7"/>
    <w:rsid w:val="00E73FBD"/>
    <w:rsid w:val="00E73FCF"/>
    <w:rsid w:val="00E74266"/>
    <w:rsid w:val="00E746F6"/>
    <w:rsid w:val="00E747F3"/>
    <w:rsid w:val="00E74D0B"/>
    <w:rsid w:val="00E74D45"/>
    <w:rsid w:val="00E74DDC"/>
    <w:rsid w:val="00E74E18"/>
    <w:rsid w:val="00E75102"/>
    <w:rsid w:val="00E7513E"/>
    <w:rsid w:val="00E75A3A"/>
    <w:rsid w:val="00E75BA1"/>
    <w:rsid w:val="00E75BD7"/>
    <w:rsid w:val="00E75DDD"/>
    <w:rsid w:val="00E75FE6"/>
    <w:rsid w:val="00E760CE"/>
    <w:rsid w:val="00E7651C"/>
    <w:rsid w:val="00E76588"/>
    <w:rsid w:val="00E765EB"/>
    <w:rsid w:val="00E76742"/>
    <w:rsid w:val="00E76939"/>
    <w:rsid w:val="00E76AE4"/>
    <w:rsid w:val="00E76B70"/>
    <w:rsid w:val="00E76C56"/>
    <w:rsid w:val="00E76CFA"/>
    <w:rsid w:val="00E76DA6"/>
    <w:rsid w:val="00E76FE6"/>
    <w:rsid w:val="00E7701E"/>
    <w:rsid w:val="00E7735F"/>
    <w:rsid w:val="00E773A7"/>
    <w:rsid w:val="00E77407"/>
    <w:rsid w:val="00E774BF"/>
    <w:rsid w:val="00E7769B"/>
    <w:rsid w:val="00E77825"/>
    <w:rsid w:val="00E7784C"/>
    <w:rsid w:val="00E77A17"/>
    <w:rsid w:val="00E77A73"/>
    <w:rsid w:val="00E77B8C"/>
    <w:rsid w:val="00E77BE7"/>
    <w:rsid w:val="00E77E55"/>
    <w:rsid w:val="00E77E58"/>
    <w:rsid w:val="00E802D6"/>
    <w:rsid w:val="00E802E0"/>
    <w:rsid w:val="00E80476"/>
    <w:rsid w:val="00E804C0"/>
    <w:rsid w:val="00E8096C"/>
    <w:rsid w:val="00E80DC3"/>
    <w:rsid w:val="00E80DEB"/>
    <w:rsid w:val="00E81258"/>
    <w:rsid w:val="00E81614"/>
    <w:rsid w:val="00E81798"/>
    <w:rsid w:val="00E8193F"/>
    <w:rsid w:val="00E81D5F"/>
    <w:rsid w:val="00E81E71"/>
    <w:rsid w:val="00E8208F"/>
    <w:rsid w:val="00E820BC"/>
    <w:rsid w:val="00E8218D"/>
    <w:rsid w:val="00E821CB"/>
    <w:rsid w:val="00E821CE"/>
    <w:rsid w:val="00E82348"/>
    <w:rsid w:val="00E824D7"/>
    <w:rsid w:val="00E8256E"/>
    <w:rsid w:val="00E825F2"/>
    <w:rsid w:val="00E8273B"/>
    <w:rsid w:val="00E827C4"/>
    <w:rsid w:val="00E82873"/>
    <w:rsid w:val="00E82B6B"/>
    <w:rsid w:val="00E82D42"/>
    <w:rsid w:val="00E82EB7"/>
    <w:rsid w:val="00E830D3"/>
    <w:rsid w:val="00E8344E"/>
    <w:rsid w:val="00E8391F"/>
    <w:rsid w:val="00E83921"/>
    <w:rsid w:val="00E83977"/>
    <w:rsid w:val="00E83ACC"/>
    <w:rsid w:val="00E83BC5"/>
    <w:rsid w:val="00E83BDE"/>
    <w:rsid w:val="00E83CF9"/>
    <w:rsid w:val="00E83E88"/>
    <w:rsid w:val="00E83EDE"/>
    <w:rsid w:val="00E84066"/>
    <w:rsid w:val="00E840A3"/>
    <w:rsid w:val="00E840BB"/>
    <w:rsid w:val="00E841A7"/>
    <w:rsid w:val="00E841CC"/>
    <w:rsid w:val="00E841DF"/>
    <w:rsid w:val="00E8442B"/>
    <w:rsid w:val="00E84538"/>
    <w:rsid w:val="00E8453C"/>
    <w:rsid w:val="00E84D3C"/>
    <w:rsid w:val="00E84F9D"/>
    <w:rsid w:val="00E84FD9"/>
    <w:rsid w:val="00E85163"/>
    <w:rsid w:val="00E85210"/>
    <w:rsid w:val="00E8525D"/>
    <w:rsid w:val="00E8543D"/>
    <w:rsid w:val="00E85512"/>
    <w:rsid w:val="00E857F7"/>
    <w:rsid w:val="00E85A56"/>
    <w:rsid w:val="00E85EC4"/>
    <w:rsid w:val="00E85F12"/>
    <w:rsid w:val="00E8601E"/>
    <w:rsid w:val="00E86060"/>
    <w:rsid w:val="00E86465"/>
    <w:rsid w:val="00E86506"/>
    <w:rsid w:val="00E865AF"/>
    <w:rsid w:val="00E86600"/>
    <w:rsid w:val="00E86730"/>
    <w:rsid w:val="00E86798"/>
    <w:rsid w:val="00E86B92"/>
    <w:rsid w:val="00E86EB6"/>
    <w:rsid w:val="00E86FA4"/>
    <w:rsid w:val="00E8736C"/>
    <w:rsid w:val="00E873E4"/>
    <w:rsid w:val="00E8789D"/>
    <w:rsid w:val="00E8795D"/>
    <w:rsid w:val="00E87CEC"/>
    <w:rsid w:val="00E90304"/>
    <w:rsid w:val="00E903BA"/>
    <w:rsid w:val="00E90418"/>
    <w:rsid w:val="00E9075A"/>
    <w:rsid w:val="00E9078E"/>
    <w:rsid w:val="00E908B0"/>
    <w:rsid w:val="00E90AD1"/>
    <w:rsid w:val="00E90C56"/>
    <w:rsid w:val="00E90E38"/>
    <w:rsid w:val="00E910B8"/>
    <w:rsid w:val="00E911C1"/>
    <w:rsid w:val="00E9152A"/>
    <w:rsid w:val="00E91846"/>
    <w:rsid w:val="00E91B73"/>
    <w:rsid w:val="00E91DD7"/>
    <w:rsid w:val="00E91DDF"/>
    <w:rsid w:val="00E92076"/>
    <w:rsid w:val="00E92104"/>
    <w:rsid w:val="00E923A2"/>
    <w:rsid w:val="00E925AA"/>
    <w:rsid w:val="00E92648"/>
    <w:rsid w:val="00E9299D"/>
    <w:rsid w:val="00E92A05"/>
    <w:rsid w:val="00E92AF0"/>
    <w:rsid w:val="00E9335B"/>
    <w:rsid w:val="00E9349C"/>
    <w:rsid w:val="00E9353F"/>
    <w:rsid w:val="00E93629"/>
    <w:rsid w:val="00E93969"/>
    <w:rsid w:val="00E93A64"/>
    <w:rsid w:val="00E93C32"/>
    <w:rsid w:val="00E9415F"/>
    <w:rsid w:val="00E9416D"/>
    <w:rsid w:val="00E941FA"/>
    <w:rsid w:val="00E9454B"/>
    <w:rsid w:val="00E9486E"/>
    <w:rsid w:val="00E9491B"/>
    <w:rsid w:val="00E94A7D"/>
    <w:rsid w:val="00E94EF1"/>
    <w:rsid w:val="00E94F44"/>
    <w:rsid w:val="00E9526E"/>
    <w:rsid w:val="00E952A4"/>
    <w:rsid w:val="00E953B8"/>
    <w:rsid w:val="00E953D0"/>
    <w:rsid w:val="00E9566B"/>
    <w:rsid w:val="00E95C25"/>
    <w:rsid w:val="00E95CBC"/>
    <w:rsid w:val="00E95E3C"/>
    <w:rsid w:val="00E96005"/>
    <w:rsid w:val="00E96337"/>
    <w:rsid w:val="00E96520"/>
    <w:rsid w:val="00E96582"/>
    <w:rsid w:val="00E9659F"/>
    <w:rsid w:val="00E965AF"/>
    <w:rsid w:val="00E965F1"/>
    <w:rsid w:val="00E966EA"/>
    <w:rsid w:val="00E968D3"/>
    <w:rsid w:val="00E96AE6"/>
    <w:rsid w:val="00E972CF"/>
    <w:rsid w:val="00E9754F"/>
    <w:rsid w:val="00E975CE"/>
    <w:rsid w:val="00E97C64"/>
    <w:rsid w:val="00E97EEB"/>
    <w:rsid w:val="00E97EED"/>
    <w:rsid w:val="00EA01C6"/>
    <w:rsid w:val="00EA0459"/>
    <w:rsid w:val="00EA0B00"/>
    <w:rsid w:val="00EA0B35"/>
    <w:rsid w:val="00EA1142"/>
    <w:rsid w:val="00EA1182"/>
    <w:rsid w:val="00EA11F7"/>
    <w:rsid w:val="00EA12DE"/>
    <w:rsid w:val="00EA1479"/>
    <w:rsid w:val="00EA1680"/>
    <w:rsid w:val="00EA186C"/>
    <w:rsid w:val="00EA1A78"/>
    <w:rsid w:val="00EA1D22"/>
    <w:rsid w:val="00EA1DAD"/>
    <w:rsid w:val="00EA1DDD"/>
    <w:rsid w:val="00EA1EE7"/>
    <w:rsid w:val="00EA1F04"/>
    <w:rsid w:val="00EA20A7"/>
    <w:rsid w:val="00EA21A8"/>
    <w:rsid w:val="00EA2479"/>
    <w:rsid w:val="00EA2491"/>
    <w:rsid w:val="00EA24FA"/>
    <w:rsid w:val="00EA258F"/>
    <w:rsid w:val="00EA2625"/>
    <w:rsid w:val="00EA2B0E"/>
    <w:rsid w:val="00EA2C60"/>
    <w:rsid w:val="00EA2D2C"/>
    <w:rsid w:val="00EA2DEE"/>
    <w:rsid w:val="00EA2F6D"/>
    <w:rsid w:val="00EA3781"/>
    <w:rsid w:val="00EA3841"/>
    <w:rsid w:val="00EA389E"/>
    <w:rsid w:val="00EA38D6"/>
    <w:rsid w:val="00EA39DF"/>
    <w:rsid w:val="00EA3C26"/>
    <w:rsid w:val="00EA3C4B"/>
    <w:rsid w:val="00EA3CEF"/>
    <w:rsid w:val="00EA40A0"/>
    <w:rsid w:val="00EA4314"/>
    <w:rsid w:val="00EA4320"/>
    <w:rsid w:val="00EA4346"/>
    <w:rsid w:val="00EA48A4"/>
    <w:rsid w:val="00EA4B5A"/>
    <w:rsid w:val="00EA4C79"/>
    <w:rsid w:val="00EA4E95"/>
    <w:rsid w:val="00EA4EEC"/>
    <w:rsid w:val="00EA4F02"/>
    <w:rsid w:val="00EA501F"/>
    <w:rsid w:val="00EA5078"/>
    <w:rsid w:val="00EA50B2"/>
    <w:rsid w:val="00EA518E"/>
    <w:rsid w:val="00EA51AF"/>
    <w:rsid w:val="00EA5446"/>
    <w:rsid w:val="00EA594F"/>
    <w:rsid w:val="00EA595E"/>
    <w:rsid w:val="00EA5A2D"/>
    <w:rsid w:val="00EA5A8C"/>
    <w:rsid w:val="00EA5CFD"/>
    <w:rsid w:val="00EA5DBE"/>
    <w:rsid w:val="00EA6079"/>
    <w:rsid w:val="00EA609B"/>
    <w:rsid w:val="00EA65C2"/>
    <w:rsid w:val="00EA68D0"/>
    <w:rsid w:val="00EA69BE"/>
    <w:rsid w:val="00EA6F1C"/>
    <w:rsid w:val="00EA6F2A"/>
    <w:rsid w:val="00EA7026"/>
    <w:rsid w:val="00EA7145"/>
    <w:rsid w:val="00EA76D2"/>
    <w:rsid w:val="00EA790D"/>
    <w:rsid w:val="00EA7AC6"/>
    <w:rsid w:val="00EA7E91"/>
    <w:rsid w:val="00EA7F96"/>
    <w:rsid w:val="00EB017C"/>
    <w:rsid w:val="00EB0413"/>
    <w:rsid w:val="00EB0475"/>
    <w:rsid w:val="00EB0664"/>
    <w:rsid w:val="00EB08AF"/>
    <w:rsid w:val="00EB08D3"/>
    <w:rsid w:val="00EB0A51"/>
    <w:rsid w:val="00EB0A94"/>
    <w:rsid w:val="00EB0BF0"/>
    <w:rsid w:val="00EB0C2F"/>
    <w:rsid w:val="00EB0DA0"/>
    <w:rsid w:val="00EB1072"/>
    <w:rsid w:val="00EB1510"/>
    <w:rsid w:val="00EB1552"/>
    <w:rsid w:val="00EB164A"/>
    <w:rsid w:val="00EB1822"/>
    <w:rsid w:val="00EB1AB3"/>
    <w:rsid w:val="00EB1C58"/>
    <w:rsid w:val="00EB1DB2"/>
    <w:rsid w:val="00EB21B1"/>
    <w:rsid w:val="00EB26A0"/>
    <w:rsid w:val="00EB26E9"/>
    <w:rsid w:val="00EB2799"/>
    <w:rsid w:val="00EB27E5"/>
    <w:rsid w:val="00EB2F0A"/>
    <w:rsid w:val="00EB2F2D"/>
    <w:rsid w:val="00EB3052"/>
    <w:rsid w:val="00EB3177"/>
    <w:rsid w:val="00EB32AD"/>
    <w:rsid w:val="00EB373C"/>
    <w:rsid w:val="00EB3A37"/>
    <w:rsid w:val="00EB3ABA"/>
    <w:rsid w:val="00EB3EB4"/>
    <w:rsid w:val="00EB3EC0"/>
    <w:rsid w:val="00EB3F6D"/>
    <w:rsid w:val="00EB3FFF"/>
    <w:rsid w:val="00EB402C"/>
    <w:rsid w:val="00EB4183"/>
    <w:rsid w:val="00EB4227"/>
    <w:rsid w:val="00EB4327"/>
    <w:rsid w:val="00EB43E0"/>
    <w:rsid w:val="00EB4583"/>
    <w:rsid w:val="00EB46CA"/>
    <w:rsid w:val="00EB46FE"/>
    <w:rsid w:val="00EB477E"/>
    <w:rsid w:val="00EB4887"/>
    <w:rsid w:val="00EB4FDC"/>
    <w:rsid w:val="00EB5331"/>
    <w:rsid w:val="00EB5447"/>
    <w:rsid w:val="00EB5478"/>
    <w:rsid w:val="00EB547C"/>
    <w:rsid w:val="00EB587A"/>
    <w:rsid w:val="00EB58AA"/>
    <w:rsid w:val="00EB5B9A"/>
    <w:rsid w:val="00EB5D6A"/>
    <w:rsid w:val="00EB5EEB"/>
    <w:rsid w:val="00EB5F71"/>
    <w:rsid w:val="00EB622D"/>
    <w:rsid w:val="00EB6525"/>
    <w:rsid w:val="00EB660F"/>
    <w:rsid w:val="00EB6C6A"/>
    <w:rsid w:val="00EB6E06"/>
    <w:rsid w:val="00EB7156"/>
    <w:rsid w:val="00EB71A4"/>
    <w:rsid w:val="00EB720D"/>
    <w:rsid w:val="00EB72E7"/>
    <w:rsid w:val="00EB73B6"/>
    <w:rsid w:val="00EB773E"/>
    <w:rsid w:val="00EB77DA"/>
    <w:rsid w:val="00EB7BA1"/>
    <w:rsid w:val="00EB7F3F"/>
    <w:rsid w:val="00EC032F"/>
    <w:rsid w:val="00EC0421"/>
    <w:rsid w:val="00EC04B1"/>
    <w:rsid w:val="00EC0681"/>
    <w:rsid w:val="00EC08DE"/>
    <w:rsid w:val="00EC0AE9"/>
    <w:rsid w:val="00EC0E84"/>
    <w:rsid w:val="00EC0F47"/>
    <w:rsid w:val="00EC142F"/>
    <w:rsid w:val="00EC1460"/>
    <w:rsid w:val="00EC1481"/>
    <w:rsid w:val="00EC15AE"/>
    <w:rsid w:val="00EC160E"/>
    <w:rsid w:val="00EC17B6"/>
    <w:rsid w:val="00EC1A3D"/>
    <w:rsid w:val="00EC1D0C"/>
    <w:rsid w:val="00EC1F96"/>
    <w:rsid w:val="00EC2297"/>
    <w:rsid w:val="00EC298F"/>
    <w:rsid w:val="00EC29FF"/>
    <w:rsid w:val="00EC2C24"/>
    <w:rsid w:val="00EC2C59"/>
    <w:rsid w:val="00EC2DE1"/>
    <w:rsid w:val="00EC2E8D"/>
    <w:rsid w:val="00EC318A"/>
    <w:rsid w:val="00EC3341"/>
    <w:rsid w:val="00EC351C"/>
    <w:rsid w:val="00EC35D2"/>
    <w:rsid w:val="00EC35F2"/>
    <w:rsid w:val="00EC3C91"/>
    <w:rsid w:val="00EC3F2C"/>
    <w:rsid w:val="00EC44B3"/>
    <w:rsid w:val="00EC44D8"/>
    <w:rsid w:val="00EC4C73"/>
    <w:rsid w:val="00EC4D5E"/>
    <w:rsid w:val="00EC51A3"/>
    <w:rsid w:val="00EC5259"/>
    <w:rsid w:val="00EC5407"/>
    <w:rsid w:val="00EC581F"/>
    <w:rsid w:val="00EC5994"/>
    <w:rsid w:val="00EC5A64"/>
    <w:rsid w:val="00EC5C29"/>
    <w:rsid w:val="00EC5E9B"/>
    <w:rsid w:val="00EC5F2D"/>
    <w:rsid w:val="00EC6157"/>
    <w:rsid w:val="00EC623C"/>
    <w:rsid w:val="00EC638B"/>
    <w:rsid w:val="00EC646D"/>
    <w:rsid w:val="00EC69B7"/>
    <w:rsid w:val="00EC6AA2"/>
    <w:rsid w:val="00EC6CCB"/>
    <w:rsid w:val="00EC6D7B"/>
    <w:rsid w:val="00EC6EC4"/>
    <w:rsid w:val="00EC6F07"/>
    <w:rsid w:val="00EC7369"/>
    <w:rsid w:val="00EC737E"/>
    <w:rsid w:val="00EC746C"/>
    <w:rsid w:val="00EC784E"/>
    <w:rsid w:val="00EC794B"/>
    <w:rsid w:val="00EC7954"/>
    <w:rsid w:val="00EC7D15"/>
    <w:rsid w:val="00EC7DF9"/>
    <w:rsid w:val="00ED0008"/>
    <w:rsid w:val="00ED010F"/>
    <w:rsid w:val="00ED01E3"/>
    <w:rsid w:val="00ED02E5"/>
    <w:rsid w:val="00ED0BB4"/>
    <w:rsid w:val="00ED0DA9"/>
    <w:rsid w:val="00ED0DFC"/>
    <w:rsid w:val="00ED104C"/>
    <w:rsid w:val="00ED130A"/>
    <w:rsid w:val="00ED17CE"/>
    <w:rsid w:val="00ED196D"/>
    <w:rsid w:val="00ED1D13"/>
    <w:rsid w:val="00ED1DD8"/>
    <w:rsid w:val="00ED21A3"/>
    <w:rsid w:val="00ED21BC"/>
    <w:rsid w:val="00ED23F9"/>
    <w:rsid w:val="00ED24BC"/>
    <w:rsid w:val="00ED272C"/>
    <w:rsid w:val="00ED272D"/>
    <w:rsid w:val="00ED27BD"/>
    <w:rsid w:val="00ED27C2"/>
    <w:rsid w:val="00ED28BD"/>
    <w:rsid w:val="00ED297E"/>
    <w:rsid w:val="00ED2AE1"/>
    <w:rsid w:val="00ED2F82"/>
    <w:rsid w:val="00ED32C8"/>
    <w:rsid w:val="00ED361B"/>
    <w:rsid w:val="00ED36BE"/>
    <w:rsid w:val="00ED3B10"/>
    <w:rsid w:val="00ED3B5B"/>
    <w:rsid w:val="00ED3B91"/>
    <w:rsid w:val="00ED3BC0"/>
    <w:rsid w:val="00ED3CC4"/>
    <w:rsid w:val="00ED3FB3"/>
    <w:rsid w:val="00ED4220"/>
    <w:rsid w:val="00ED427A"/>
    <w:rsid w:val="00ED4320"/>
    <w:rsid w:val="00ED4598"/>
    <w:rsid w:val="00ED4A5E"/>
    <w:rsid w:val="00ED4C32"/>
    <w:rsid w:val="00ED4C34"/>
    <w:rsid w:val="00ED4E47"/>
    <w:rsid w:val="00ED4E61"/>
    <w:rsid w:val="00ED4E74"/>
    <w:rsid w:val="00ED50B4"/>
    <w:rsid w:val="00ED50C2"/>
    <w:rsid w:val="00ED50ED"/>
    <w:rsid w:val="00ED51B7"/>
    <w:rsid w:val="00ED5249"/>
    <w:rsid w:val="00ED5376"/>
    <w:rsid w:val="00ED54CE"/>
    <w:rsid w:val="00ED54F8"/>
    <w:rsid w:val="00ED5592"/>
    <w:rsid w:val="00ED590A"/>
    <w:rsid w:val="00ED5912"/>
    <w:rsid w:val="00ED5C8B"/>
    <w:rsid w:val="00ED605F"/>
    <w:rsid w:val="00ED623F"/>
    <w:rsid w:val="00ED636B"/>
    <w:rsid w:val="00ED6592"/>
    <w:rsid w:val="00ED6781"/>
    <w:rsid w:val="00ED6870"/>
    <w:rsid w:val="00ED6966"/>
    <w:rsid w:val="00ED6AD6"/>
    <w:rsid w:val="00ED6BCA"/>
    <w:rsid w:val="00ED6CAF"/>
    <w:rsid w:val="00ED6D17"/>
    <w:rsid w:val="00ED7043"/>
    <w:rsid w:val="00ED73B8"/>
    <w:rsid w:val="00ED780D"/>
    <w:rsid w:val="00ED7851"/>
    <w:rsid w:val="00ED79C6"/>
    <w:rsid w:val="00ED7CC5"/>
    <w:rsid w:val="00ED7D23"/>
    <w:rsid w:val="00ED7D57"/>
    <w:rsid w:val="00ED7E26"/>
    <w:rsid w:val="00ED7E54"/>
    <w:rsid w:val="00EE0096"/>
    <w:rsid w:val="00EE0204"/>
    <w:rsid w:val="00EE03AF"/>
    <w:rsid w:val="00EE03FC"/>
    <w:rsid w:val="00EE0436"/>
    <w:rsid w:val="00EE0813"/>
    <w:rsid w:val="00EE0901"/>
    <w:rsid w:val="00EE0A26"/>
    <w:rsid w:val="00EE0B20"/>
    <w:rsid w:val="00EE0C77"/>
    <w:rsid w:val="00EE0CD2"/>
    <w:rsid w:val="00EE0D77"/>
    <w:rsid w:val="00EE0D85"/>
    <w:rsid w:val="00EE0E75"/>
    <w:rsid w:val="00EE1168"/>
    <w:rsid w:val="00EE1505"/>
    <w:rsid w:val="00EE190B"/>
    <w:rsid w:val="00EE199E"/>
    <w:rsid w:val="00EE1BA4"/>
    <w:rsid w:val="00EE1E18"/>
    <w:rsid w:val="00EE210A"/>
    <w:rsid w:val="00EE2120"/>
    <w:rsid w:val="00EE2435"/>
    <w:rsid w:val="00EE257B"/>
    <w:rsid w:val="00EE25F9"/>
    <w:rsid w:val="00EE2661"/>
    <w:rsid w:val="00EE28DE"/>
    <w:rsid w:val="00EE2988"/>
    <w:rsid w:val="00EE2A5E"/>
    <w:rsid w:val="00EE2A7D"/>
    <w:rsid w:val="00EE2AAA"/>
    <w:rsid w:val="00EE2EE6"/>
    <w:rsid w:val="00EE30F0"/>
    <w:rsid w:val="00EE3ADF"/>
    <w:rsid w:val="00EE3B87"/>
    <w:rsid w:val="00EE3C8E"/>
    <w:rsid w:val="00EE3DFF"/>
    <w:rsid w:val="00EE3E31"/>
    <w:rsid w:val="00EE3FDA"/>
    <w:rsid w:val="00EE4023"/>
    <w:rsid w:val="00EE4025"/>
    <w:rsid w:val="00EE40DB"/>
    <w:rsid w:val="00EE4192"/>
    <w:rsid w:val="00EE42B6"/>
    <w:rsid w:val="00EE4353"/>
    <w:rsid w:val="00EE43CF"/>
    <w:rsid w:val="00EE47BD"/>
    <w:rsid w:val="00EE48C8"/>
    <w:rsid w:val="00EE49A0"/>
    <w:rsid w:val="00EE4A86"/>
    <w:rsid w:val="00EE4BCF"/>
    <w:rsid w:val="00EE4F43"/>
    <w:rsid w:val="00EE4FB2"/>
    <w:rsid w:val="00EE50B8"/>
    <w:rsid w:val="00EE5149"/>
    <w:rsid w:val="00EE52F1"/>
    <w:rsid w:val="00EE5379"/>
    <w:rsid w:val="00EE5385"/>
    <w:rsid w:val="00EE5694"/>
    <w:rsid w:val="00EE578E"/>
    <w:rsid w:val="00EE5871"/>
    <w:rsid w:val="00EE5972"/>
    <w:rsid w:val="00EE5E6B"/>
    <w:rsid w:val="00EE60D5"/>
    <w:rsid w:val="00EE649A"/>
    <w:rsid w:val="00EE6777"/>
    <w:rsid w:val="00EE6A6D"/>
    <w:rsid w:val="00EE6E44"/>
    <w:rsid w:val="00EE6E9D"/>
    <w:rsid w:val="00EE709B"/>
    <w:rsid w:val="00EE7683"/>
    <w:rsid w:val="00EE7993"/>
    <w:rsid w:val="00EE79EE"/>
    <w:rsid w:val="00EE7A45"/>
    <w:rsid w:val="00EE7BCE"/>
    <w:rsid w:val="00EE7D98"/>
    <w:rsid w:val="00EF0286"/>
    <w:rsid w:val="00EF067D"/>
    <w:rsid w:val="00EF0739"/>
    <w:rsid w:val="00EF0782"/>
    <w:rsid w:val="00EF07FA"/>
    <w:rsid w:val="00EF08A6"/>
    <w:rsid w:val="00EF0A59"/>
    <w:rsid w:val="00EF0CA9"/>
    <w:rsid w:val="00EF0F72"/>
    <w:rsid w:val="00EF1512"/>
    <w:rsid w:val="00EF156A"/>
    <w:rsid w:val="00EF18D4"/>
    <w:rsid w:val="00EF1959"/>
    <w:rsid w:val="00EF1976"/>
    <w:rsid w:val="00EF1AB0"/>
    <w:rsid w:val="00EF1CA8"/>
    <w:rsid w:val="00EF1F58"/>
    <w:rsid w:val="00EF1FD9"/>
    <w:rsid w:val="00EF2A02"/>
    <w:rsid w:val="00EF2D7F"/>
    <w:rsid w:val="00EF2E43"/>
    <w:rsid w:val="00EF2F72"/>
    <w:rsid w:val="00EF2F74"/>
    <w:rsid w:val="00EF302F"/>
    <w:rsid w:val="00EF32DA"/>
    <w:rsid w:val="00EF3351"/>
    <w:rsid w:val="00EF33B3"/>
    <w:rsid w:val="00EF36D6"/>
    <w:rsid w:val="00EF37DB"/>
    <w:rsid w:val="00EF3897"/>
    <w:rsid w:val="00EF3AAB"/>
    <w:rsid w:val="00EF3C66"/>
    <w:rsid w:val="00EF3E81"/>
    <w:rsid w:val="00EF3FD6"/>
    <w:rsid w:val="00EF4098"/>
    <w:rsid w:val="00EF423B"/>
    <w:rsid w:val="00EF4531"/>
    <w:rsid w:val="00EF45FF"/>
    <w:rsid w:val="00EF48B4"/>
    <w:rsid w:val="00EF48E6"/>
    <w:rsid w:val="00EF4A8B"/>
    <w:rsid w:val="00EF4BB7"/>
    <w:rsid w:val="00EF4DA4"/>
    <w:rsid w:val="00EF4E56"/>
    <w:rsid w:val="00EF4FD4"/>
    <w:rsid w:val="00EF50A1"/>
    <w:rsid w:val="00EF52E1"/>
    <w:rsid w:val="00EF53C6"/>
    <w:rsid w:val="00EF587B"/>
    <w:rsid w:val="00EF59D1"/>
    <w:rsid w:val="00EF5C9E"/>
    <w:rsid w:val="00EF5DE3"/>
    <w:rsid w:val="00EF5EE5"/>
    <w:rsid w:val="00EF5F51"/>
    <w:rsid w:val="00EF6081"/>
    <w:rsid w:val="00EF61A7"/>
    <w:rsid w:val="00EF6332"/>
    <w:rsid w:val="00EF645F"/>
    <w:rsid w:val="00EF6755"/>
    <w:rsid w:val="00EF67E5"/>
    <w:rsid w:val="00EF6842"/>
    <w:rsid w:val="00EF6AAC"/>
    <w:rsid w:val="00EF6CCE"/>
    <w:rsid w:val="00EF6D18"/>
    <w:rsid w:val="00EF7245"/>
    <w:rsid w:val="00EF72BF"/>
    <w:rsid w:val="00EF72CB"/>
    <w:rsid w:val="00EF766C"/>
    <w:rsid w:val="00EF7771"/>
    <w:rsid w:val="00EF7ACD"/>
    <w:rsid w:val="00F0001F"/>
    <w:rsid w:val="00F00277"/>
    <w:rsid w:val="00F0056D"/>
    <w:rsid w:val="00F00659"/>
    <w:rsid w:val="00F0070D"/>
    <w:rsid w:val="00F0080D"/>
    <w:rsid w:val="00F00827"/>
    <w:rsid w:val="00F00A49"/>
    <w:rsid w:val="00F00F22"/>
    <w:rsid w:val="00F00FB6"/>
    <w:rsid w:val="00F0108A"/>
    <w:rsid w:val="00F01362"/>
    <w:rsid w:val="00F01548"/>
    <w:rsid w:val="00F01771"/>
    <w:rsid w:val="00F017A3"/>
    <w:rsid w:val="00F017E5"/>
    <w:rsid w:val="00F019AD"/>
    <w:rsid w:val="00F01C99"/>
    <w:rsid w:val="00F01FAA"/>
    <w:rsid w:val="00F020B8"/>
    <w:rsid w:val="00F02168"/>
    <w:rsid w:val="00F02173"/>
    <w:rsid w:val="00F02379"/>
    <w:rsid w:val="00F026B9"/>
    <w:rsid w:val="00F0280B"/>
    <w:rsid w:val="00F02AD9"/>
    <w:rsid w:val="00F02BD0"/>
    <w:rsid w:val="00F02C39"/>
    <w:rsid w:val="00F02CCF"/>
    <w:rsid w:val="00F02DBE"/>
    <w:rsid w:val="00F031F7"/>
    <w:rsid w:val="00F03283"/>
    <w:rsid w:val="00F03328"/>
    <w:rsid w:val="00F0377E"/>
    <w:rsid w:val="00F03900"/>
    <w:rsid w:val="00F03CB8"/>
    <w:rsid w:val="00F03D28"/>
    <w:rsid w:val="00F03D5E"/>
    <w:rsid w:val="00F03FE3"/>
    <w:rsid w:val="00F041FA"/>
    <w:rsid w:val="00F04626"/>
    <w:rsid w:val="00F04928"/>
    <w:rsid w:val="00F04C8F"/>
    <w:rsid w:val="00F04CD7"/>
    <w:rsid w:val="00F04D07"/>
    <w:rsid w:val="00F050FE"/>
    <w:rsid w:val="00F05685"/>
    <w:rsid w:val="00F05DBC"/>
    <w:rsid w:val="00F05F98"/>
    <w:rsid w:val="00F06215"/>
    <w:rsid w:val="00F067F6"/>
    <w:rsid w:val="00F0684E"/>
    <w:rsid w:val="00F06962"/>
    <w:rsid w:val="00F06AB5"/>
    <w:rsid w:val="00F06AE0"/>
    <w:rsid w:val="00F06E66"/>
    <w:rsid w:val="00F06F8E"/>
    <w:rsid w:val="00F0733C"/>
    <w:rsid w:val="00F07350"/>
    <w:rsid w:val="00F073E4"/>
    <w:rsid w:val="00F07714"/>
    <w:rsid w:val="00F078F9"/>
    <w:rsid w:val="00F079E8"/>
    <w:rsid w:val="00F07C57"/>
    <w:rsid w:val="00F07D77"/>
    <w:rsid w:val="00F07EA1"/>
    <w:rsid w:val="00F07FD7"/>
    <w:rsid w:val="00F100D8"/>
    <w:rsid w:val="00F106A4"/>
    <w:rsid w:val="00F106E7"/>
    <w:rsid w:val="00F10770"/>
    <w:rsid w:val="00F10856"/>
    <w:rsid w:val="00F1088A"/>
    <w:rsid w:val="00F108A4"/>
    <w:rsid w:val="00F10A2F"/>
    <w:rsid w:val="00F10B29"/>
    <w:rsid w:val="00F10E35"/>
    <w:rsid w:val="00F10E72"/>
    <w:rsid w:val="00F10EE3"/>
    <w:rsid w:val="00F11121"/>
    <w:rsid w:val="00F1136E"/>
    <w:rsid w:val="00F11496"/>
    <w:rsid w:val="00F114F9"/>
    <w:rsid w:val="00F11A78"/>
    <w:rsid w:val="00F11A97"/>
    <w:rsid w:val="00F11AC3"/>
    <w:rsid w:val="00F11C0A"/>
    <w:rsid w:val="00F11C33"/>
    <w:rsid w:val="00F11C37"/>
    <w:rsid w:val="00F11F30"/>
    <w:rsid w:val="00F1207E"/>
    <w:rsid w:val="00F12142"/>
    <w:rsid w:val="00F12430"/>
    <w:rsid w:val="00F125D1"/>
    <w:rsid w:val="00F12629"/>
    <w:rsid w:val="00F1269E"/>
    <w:rsid w:val="00F12DF2"/>
    <w:rsid w:val="00F12EFB"/>
    <w:rsid w:val="00F1323B"/>
    <w:rsid w:val="00F132F5"/>
    <w:rsid w:val="00F135D3"/>
    <w:rsid w:val="00F13601"/>
    <w:rsid w:val="00F13658"/>
    <w:rsid w:val="00F138B2"/>
    <w:rsid w:val="00F138E5"/>
    <w:rsid w:val="00F13904"/>
    <w:rsid w:val="00F13C5F"/>
    <w:rsid w:val="00F14A82"/>
    <w:rsid w:val="00F14B89"/>
    <w:rsid w:val="00F14F46"/>
    <w:rsid w:val="00F15152"/>
    <w:rsid w:val="00F15262"/>
    <w:rsid w:val="00F152C9"/>
    <w:rsid w:val="00F1537B"/>
    <w:rsid w:val="00F15517"/>
    <w:rsid w:val="00F1551D"/>
    <w:rsid w:val="00F15878"/>
    <w:rsid w:val="00F158CC"/>
    <w:rsid w:val="00F159EC"/>
    <w:rsid w:val="00F15B96"/>
    <w:rsid w:val="00F15C21"/>
    <w:rsid w:val="00F15C95"/>
    <w:rsid w:val="00F15E55"/>
    <w:rsid w:val="00F15E5D"/>
    <w:rsid w:val="00F16092"/>
    <w:rsid w:val="00F16465"/>
    <w:rsid w:val="00F16555"/>
    <w:rsid w:val="00F167F4"/>
    <w:rsid w:val="00F168CE"/>
    <w:rsid w:val="00F16A2F"/>
    <w:rsid w:val="00F16B4B"/>
    <w:rsid w:val="00F16C48"/>
    <w:rsid w:val="00F16D62"/>
    <w:rsid w:val="00F16F74"/>
    <w:rsid w:val="00F1714E"/>
    <w:rsid w:val="00F173B7"/>
    <w:rsid w:val="00F17579"/>
    <w:rsid w:val="00F175CA"/>
    <w:rsid w:val="00F17BA8"/>
    <w:rsid w:val="00F17DCB"/>
    <w:rsid w:val="00F20093"/>
    <w:rsid w:val="00F20225"/>
    <w:rsid w:val="00F2028F"/>
    <w:rsid w:val="00F20522"/>
    <w:rsid w:val="00F205DE"/>
    <w:rsid w:val="00F2074A"/>
    <w:rsid w:val="00F20750"/>
    <w:rsid w:val="00F209E2"/>
    <w:rsid w:val="00F20A07"/>
    <w:rsid w:val="00F20FE6"/>
    <w:rsid w:val="00F21079"/>
    <w:rsid w:val="00F21376"/>
    <w:rsid w:val="00F21616"/>
    <w:rsid w:val="00F21870"/>
    <w:rsid w:val="00F218B0"/>
    <w:rsid w:val="00F21A95"/>
    <w:rsid w:val="00F21CBF"/>
    <w:rsid w:val="00F21F0E"/>
    <w:rsid w:val="00F21FA3"/>
    <w:rsid w:val="00F22278"/>
    <w:rsid w:val="00F222BC"/>
    <w:rsid w:val="00F2239B"/>
    <w:rsid w:val="00F2267E"/>
    <w:rsid w:val="00F22789"/>
    <w:rsid w:val="00F227CB"/>
    <w:rsid w:val="00F227DD"/>
    <w:rsid w:val="00F22916"/>
    <w:rsid w:val="00F2292F"/>
    <w:rsid w:val="00F22E0A"/>
    <w:rsid w:val="00F22E90"/>
    <w:rsid w:val="00F230A1"/>
    <w:rsid w:val="00F2329B"/>
    <w:rsid w:val="00F232B3"/>
    <w:rsid w:val="00F235DB"/>
    <w:rsid w:val="00F236A8"/>
    <w:rsid w:val="00F23707"/>
    <w:rsid w:val="00F23731"/>
    <w:rsid w:val="00F237C0"/>
    <w:rsid w:val="00F23A50"/>
    <w:rsid w:val="00F2415C"/>
    <w:rsid w:val="00F24178"/>
    <w:rsid w:val="00F242C8"/>
    <w:rsid w:val="00F2434D"/>
    <w:rsid w:val="00F24555"/>
    <w:rsid w:val="00F24705"/>
    <w:rsid w:val="00F24777"/>
    <w:rsid w:val="00F247B9"/>
    <w:rsid w:val="00F249C8"/>
    <w:rsid w:val="00F24D53"/>
    <w:rsid w:val="00F24DE2"/>
    <w:rsid w:val="00F24FEA"/>
    <w:rsid w:val="00F25121"/>
    <w:rsid w:val="00F2553C"/>
    <w:rsid w:val="00F25631"/>
    <w:rsid w:val="00F2574E"/>
    <w:rsid w:val="00F257B6"/>
    <w:rsid w:val="00F258CB"/>
    <w:rsid w:val="00F25953"/>
    <w:rsid w:val="00F25AD3"/>
    <w:rsid w:val="00F25C10"/>
    <w:rsid w:val="00F25D09"/>
    <w:rsid w:val="00F26023"/>
    <w:rsid w:val="00F26155"/>
    <w:rsid w:val="00F2623A"/>
    <w:rsid w:val="00F262C4"/>
    <w:rsid w:val="00F26C97"/>
    <w:rsid w:val="00F26DFD"/>
    <w:rsid w:val="00F26F44"/>
    <w:rsid w:val="00F270C2"/>
    <w:rsid w:val="00F270DB"/>
    <w:rsid w:val="00F27423"/>
    <w:rsid w:val="00F27565"/>
    <w:rsid w:val="00F275EF"/>
    <w:rsid w:val="00F27A85"/>
    <w:rsid w:val="00F27BC1"/>
    <w:rsid w:val="00F27DAA"/>
    <w:rsid w:val="00F27FBD"/>
    <w:rsid w:val="00F3001D"/>
    <w:rsid w:val="00F30379"/>
    <w:rsid w:val="00F304FE"/>
    <w:rsid w:val="00F306FB"/>
    <w:rsid w:val="00F308C6"/>
    <w:rsid w:val="00F30D88"/>
    <w:rsid w:val="00F30EDD"/>
    <w:rsid w:val="00F30F96"/>
    <w:rsid w:val="00F3124B"/>
    <w:rsid w:val="00F31288"/>
    <w:rsid w:val="00F312C9"/>
    <w:rsid w:val="00F31565"/>
    <w:rsid w:val="00F315A1"/>
    <w:rsid w:val="00F316BA"/>
    <w:rsid w:val="00F31854"/>
    <w:rsid w:val="00F31DD7"/>
    <w:rsid w:val="00F31E43"/>
    <w:rsid w:val="00F31F05"/>
    <w:rsid w:val="00F31F70"/>
    <w:rsid w:val="00F32231"/>
    <w:rsid w:val="00F322BC"/>
    <w:rsid w:val="00F323BD"/>
    <w:rsid w:val="00F325A1"/>
    <w:rsid w:val="00F3289B"/>
    <w:rsid w:val="00F32B3A"/>
    <w:rsid w:val="00F32B78"/>
    <w:rsid w:val="00F3327F"/>
    <w:rsid w:val="00F33362"/>
    <w:rsid w:val="00F33453"/>
    <w:rsid w:val="00F336D7"/>
    <w:rsid w:val="00F338FA"/>
    <w:rsid w:val="00F33A13"/>
    <w:rsid w:val="00F33A62"/>
    <w:rsid w:val="00F33CC8"/>
    <w:rsid w:val="00F33E0D"/>
    <w:rsid w:val="00F33F84"/>
    <w:rsid w:val="00F3400D"/>
    <w:rsid w:val="00F342A2"/>
    <w:rsid w:val="00F34336"/>
    <w:rsid w:val="00F34379"/>
    <w:rsid w:val="00F343EC"/>
    <w:rsid w:val="00F34524"/>
    <w:rsid w:val="00F3454A"/>
    <w:rsid w:val="00F348A1"/>
    <w:rsid w:val="00F34E7A"/>
    <w:rsid w:val="00F35183"/>
    <w:rsid w:val="00F35190"/>
    <w:rsid w:val="00F351D9"/>
    <w:rsid w:val="00F352B6"/>
    <w:rsid w:val="00F35315"/>
    <w:rsid w:val="00F35538"/>
    <w:rsid w:val="00F35761"/>
    <w:rsid w:val="00F358BE"/>
    <w:rsid w:val="00F35AB7"/>
    <w:rsid w:val="00F35B7E"/>
    <w:rsid w:val="00F35C8D"/>
    <w:rsid w:val="00F35D7D"/>
    <w:rsid w:val="00F35F7D"/>
    <w:rsid w:val="00F361EA"/>
    <w:rsid w:val="00F3644A"/>
    <w:rsid w:val="00F36775"/>
    <w:rsid w:val="00F3688A"/>
    <w:rsid w:val="00F369B5"/>
    <w:rsid w:val="00F36B0E"/>
    <w:rsid w:val="00F36C4A"/>
    <w:rsid w:val="00F36D98"/>
    <w:rsid w:val="00F36E43"/>
    <w:rsid w:val="00F37440"/>
    <w:rsid w:val="00F37692"/>
    <w:rsid w:val="00F377C3"/>
    <w:rsid w:val="00F378ED"/>
    <w:rsid w:val="00F3792D"/>
    <w:rsid w:val="00F37A99"/>
    <w:rsid w:val="00F37D07"/>
    <w:rsid w:val="00F37E22"/>
    <w:rsid w:val="00F40126"/>
    <w:rsid w:val="00F4039C"/>
    <w:rsid w:val="00F40744"/>
    <w:rsid w:val="00F409C2"/>
    <w:rsid w:val="00F409E3"/>
    <w:rsid w:val="00F40DB2"/>
    <w:rsid w:val="00F40E20"/>
    <w:rsid w:val="00F40E96"/>
    <w:rsid w:val="00F4108E"/>
    <w:rsid w:val="00F4119A"/>
    <w:rsid w:val="00F4154B"/>
    <w:rsid w:val="00F41B59"/>
    <w:rsid w:val="00F41F4B"/>
    <w:rsid w:val="00F42065"/>
    <w:rsid w:val="00F421C9"/>
    <w:rsid w:val="00F422F4"/>
    <w:rsid w:val="00F42303"/>
    <w:rsid w:val="00F423AD"/>
    <w:rsid w:val="00F42554"/>
    <w:rsid w:val="00F4259C"/>
    <w:rsid w:val="00F425FF"/>
    <w:rsid w:val="00F42756"/>
    <w:rsid w:val="00F427FF"/>
    <w:rsid w:val="00F42B5E"/>
    <w:rsid w:val="00F42B9B"/>
    <w:rsid w:val="00F42ECC"/>
    <w:rsid w:val="00F43281"/>
    <w:rsid w:val="00F43350"/>
    <w:rsid w:val="00F4388A"/>
    <w:rsid w:val="00F43961"/>
    <w:rsid w:val="00F43AA6"/>
    <w:rsid w:val="00F43C6A"/>
    <w:rsid w:val="00F43CBA"/>
    <w:rsid w:val="00F43CD0"/>
    <w:rsid w:val="00F43F04"/>
    <w:rsid w:val="00F440AC"/>
    <w:rsid w:val="00F4412E"/>
    <w:rsid w:val="00F441F9"/>
    <w:rsid w:val="00F44345"/>
    <w:rsid w:val="00F4449B"/>
    <w:rsid w:val="00F4455A"/>
    <w:rsid w:val="00F44600"/>
    <w:rsid w:val="00F447BE"/>
    <w:rsid w:val="00F4480A"/>
    <w:rsid w:val="00F44B49"/>
    <w:rsid w:val="00F44C84"/>
    <w:rsid w:val="00F44CC4"/>
    <w:rsid w:val="00F44D19"/>
    <w:rsid w:val="00F44D5D"/>
    <w:rsid w:val="00F44E67"/>
    <w:rsid w:val="00F44ECA"/>
    <w:rsid w:val="00F4555E"/>
    <w:rsid w:val="00F45705"/>
    <w:rsid w:val="00F45706"/>
    <w:rsid w:val="00F45DD0"/>
    <w:rsid w:val="00F45F02"/>
    <w:rsid w:val="00F45F17"/>
    <w:rsid w:val="00F461EA"/>
    <w:rsid w:val="00F467BD"/>
    <w:rsid w:val="00F4680A"/>
    <w:rsid w:val="00F468A1"/>
    <w:rsid w:val="00F469D8"/>
    <w:rsid w:val="00F46BD2"/>
    <w:rsid w:val="00F46CB1"/>
    <w:rsid w:val="00F473F5"/>
    <w:rsid w:val="00F47659"/>
    <w:rsid w:val="00F477CC"/>
    <w:rsid w:val="00F477FB"/>
    <w:rsid w:val="00F47904"/>
    <w:rsid w:val="00F47913"/>
    <w:rsid w:val="00F47978"/>
    <w:rsid w:val="00F47A3C"/>
    <w:rsid w:val="00F47DDC"/>
    <w:rsid w:val="00F50033"/>
    <w:rsid w:val="00F5006D"/>
    <w:rsid w:val="00F50172"/>
    <w:rsid w:val="00F501E4"/>
    <w:rsid w:val="00F5021C"/>
    <w:rsid w:val="00F5042A"/>
    <w:rsid w:val="00F50467"/>
    <w:rsid w:val="00F504F7"/>
    <w:rsid w:val="00F50505"/>
    <w:rsid w:val="00F506C9"/>
    <w:rsid w:val="00F50A19"/>
    <w:rsid w:val="00F50A66"/>
    <w:rsid w:val="00F5116E"/>
    <w:rsid w:val="00F51273"/>
    <w:rsid w:val="00F5188C"/>
    <w:rsid w:val="00F51CB8"/>
    <w:rsid w:val="00F5219A"/>
    <w:rsid w:val="00F521C7"/>
    <w:rsid w:val="00F52228"/>
    <w:rsid w:val="00F52351"/>
    <w:rsid w:val="00F52365"/>
    <w:rsid w:val="00F523F4"/>
    <w:rsid w:val="00F5243E"/>
    <w:rsid w:val="00F5290B"/>
    <w:rsid w:val="00F52F92"/>
    <w:rsid w:val="00F53087"/>
    <w:rsid w:val="00F5318C"/>
    <w:rsid w:val="00F531E8"/>
    <w:rsid w:val="00F5323A"/>
    <w:rsid w:val="00F532CF"/>
    <w:rsid w:val="00F53564"/>
    <w:rsid w:val="00F535DF"/>
    <w:rsid w:val="00F53673"/>
    <w:rsid w:val="00F53A5B"/>
    <w:rsid w:val="00F53A70"/>
    <w:rsid w:val="00F53A9B"/>
    <w:rsid w:val="00F53ADC"/>
    <w:rsid w:val="00F53B73"/>
    <w:rsid w:val="00F53DA6"/>
    <w:rsid w:val="00F53E87"/>
    <w:rsid w:val="00F53F36"/>
    <w:rsid w:val="00F54225"/>
    <w:rsid w:val="00F5450A"/>
    <w:rsid w:val="00F545B4"/>
    <w:rsid w:val="00F5464F"/>
    <w:rsid w:val="00F54734"/>
    <w:rsid w:val="00F54B4B"/>
    <w:rsid w:val="00F54BEF"/>
    <w:rsid w:val="00F54D65"/>
    <w:rsid w:val="00F54D66"/>
    <w:rsid w:val="00F54E0B"/>
    <w:rsid w:val="00F54E55"/>
    <w:rsid w:val="00F551B6"/>
    <w:rsid w:val="00F553A4"/>
    <w:rsid w:val="00F553FA"/>
    <w:rsid w:val="00F5590A"/>
    <w:rsid w:val="00F55D76"/>
    <w:rsid w:val="00F56002"/>
    <w:rsid w:val="00F5605E"/>
    <w:rsid w:val="00F561F5"/>
    <w:rsid w:val="00F569FB"/>
    <w:rsid w:val="00F56A66"/>
    <w:rsid w:val="00F56AB1"/>
    <w:rsid w:val="00F56B9A"/>
    <w:rsid w:val="00F56BEA"/>
    <w:rsid w:val="00F57094"/>
    <w:rsid w:val="00F57255"/>
    <w:rsid w:val="00F5743F"/>
    <w:rsid w:val="00F57860"/>
    <w:rsid w:val="00F5790D"/>
    <w:rsid w:val="00F57943"/>
    <w:rsid w:val="00F57A19"/>
    <w:rsid w:val="00F57A1B"/>
    <w:rsid w:val="00F57A8B"/>
    <w:rsid w:val="00F57D4B"/>
    <w:rsid w:val="00F57D85"/>
    <w:rsid w:val="00F60269"/>
    <w:rsid w:val="00F6035B"/>
    <w:rsid w:val="00F6041C"/>
    <w:rsid w:val="00F60873"/>
    <w:rsid w:val="00F608C4"/>
    <w:rsid w:val="00F60A5D"/>
    <w:rsid w:val="00F60AF4"/>
    <w:rsid w:val="00F60BA1"/>
    <w:rsid w:val="00F60F41"/>
    <w:rsid w:val="00F61158"/>
    <w:rsid w:val="00F611DC"/>
    <w:rsid w:val="00F61227"/>
    <w:rsid w:val="00F612EC"/>
    <w:rsid w:val="00F61407"/>
    <w:rsid w:val="00F61514"/>
    <w:rsid w:val="00F615AA"/>
    <w:rsid w:val="00F61A3C"/>
    <w:rsid w:val="00F61A72"/>
    <w:rsid w:val="00F621CE"/>
    <w:rsid w:val="00F622F8"/>
    <w:rsid w:val="00F6237F"/>
    <w:rsid w:val="00F623ED"/>
    <w:rsid w:val="00F624AF"/>
    <w:rsid w:val="00F6250F"/>
    <w:rsid w:val="00F62A4B"/>
    <w:rsid w:val="00F62CB2"/>
    <w:rsid w:val="00F62D1B"/>
    <w:rsid w:val="00F62DA1"/>
    <w:rsid w:val="00F63379"/>
    <w:rsid w:val="00F634A4"/>
    <w:rsid w:val="00F6377D"/>
    <w:rsid w:val="00F6382F"/>
    <w:rsid w:val="00F639A8"/>
    <w:rsid w:val="00F63C21"/>
    <w:rsid w:val="00F63C9D"/>
    <w:rsid w:val="00F64039"/>
    <w:rsid w:val="00F645BC"/>
    <w:rsid w:val="00F64720"/>
    <w:rsid w:val="00F64C1C"/>
    <w:rsid w:val="00F64E75"/>
    <w:rsid w:val="00F650F7"/>
    <w:rsid w:val="00F65536"/>
    <w:rsid w:val="00F65684"/>
    <w:rsid w:val="00F6572E"/>
    <w:rsid w:val="00F6581E"/>
    <w:rsid w:val="00F65947"/>
    <w:rsid w:val="00F65992"/>
    <w:rsid w:val="00F65D12"/>
    <w:rsid w:val="00F66086"/>
    <w:rsid w:val="00F66414"/>
    <w:rsid w:val="00F66C57"/>
    <w:rsid w:val="00F66C94"/>
    <w:rsid w:val="00F66F11"/>
    <w:rsid w:val="00F66FDD"/>
    <w:rsid w:val="00F67144"/>
    <w:rsid w:val="00F674A7"/>
    <w:rsid w:val="00F6750D"/>
    <w:rsid w:val="00F677EA"/>
    <w:rsid w:val="00F67856"/>
    <w:rsid w:val="00F67C30"/>
    <w:rsid w:val="00F67D75"/>
    <w:rsid w:val="00F67E33"/>
    <w:rsid w:val="00F70617"/>
    <w:rsid w:val="00F707E9"/>
    <w:rsid w:val="00F70819"/>
    <w:rsid w:val="00F708C1"/>
    <w:rsid w:val="00F70CD2"/>
    <w:rsid w:val="00F70D55"/>
    <w:rsid w:val="00F70E34"/>
    <w:rsid w:val="00F70FCA"/>
    <w:rsid w:val="00F7114F"/>
    <w:rsid w:val="00F712BD"/>
    <w:rsid w:val="00F71553"/>
    <w:rsid w:val="00F71917"/>
    <w:rsid w:val="00F71970"/>
    <w:rsid w:val="00F71DE1"/>
    <w:rsid w:val="00F71F0B"/>
    <w:rsid w:val="00F71F5B"/>
    <w:rsid w:val="00F720EA"/>
    <w:rsid w:val="00F721B0"/>
    <w:rsid w:val="00F721B2"/>
    <w:rsid w:val="00F722B4"/>
    <w:rsid w:val="00F7234E"/>
    <w:rsid w:val="00F72A7E"/>
    <w:rsid w:val="00F72D13"/>
    <w:rsid w:val="00F72D1A"/>
    <w:rsid w:val="00F73013"/>
    <w:rsid w:val="00F73074"/>
    <w:rsid w:val="00F730BD"/>
    <w:rsid w:val="00F73341"/>
    <w:rsid w:val="00F7361E"/>
    <w:rsid w:val="00F73693"/>
    <w:rsid w:val="00F73E91"/>
    <w:rsid w:val="00F73F30"/>
    <w:rsid w:val="00F73F87"/>
    <w:rsid w:val="00F73F8D"/>
    <w:rsid w:val="00F73FB9"/>
    <w:rsid w:val="00F73FDB"/>
    <w:rsid w:val="00F740B7"/>
    <w:rsid w:val="00F7443C"/>
    <w:rsid w:val="00F7444A"/>
    <w:rsid w:val="00F74464"/>
    <w:rsid w:val="00F74703"/>
    <w:rsid w:val="00F74782"/>
    <w:rsid w:val="00F74BBE"/>
    <w:rsid w:val="00F74CFE"/>
    <w:rsid w:val="00F74D49"/>
    <w:rsid w:val="00F74E69"/>
    <w:rsid w:val="00F74EEE"/>
    <w:rsid w:val="00F75002"/>
    <w:rsid w:val="00F75019"/>
    <w:rsid w:val="00F7562B"/>
    <w:rsid w:val="00F75643"/>
    <w:rsid w:val="00F756B9"/>
    <w:rsid w:val="00F75898"/>
    <w:rsid w:val="00F7594F"/>
    <w:rsid w:val="00F75ADE"/>
    <w:rsid w:val="00F75C71"/>
    <w:rsid w:val="00F75C7E"/>
    <w:rsid w:val="00F75E5F"/>
    <w:rsid w:val="00F75EAB"/>
    <w:rsid w:val="00F7623E"/>
    <w:rsid w:val="00F766B8"/>
    <w:rsid w:val="00F76716"/>
    <w:rsid w:val="00F76967"/>
    <w:rsid w:val="00F76998"/>
    <w:rsid w:val="00F7699D"/>
    <w:rsid w:val="00F76D01"/>
    <w:rsid w:val="00F76D21"/>
    <w:rsid w:val="00F76FE4"/>
    <w:rsid w:val="00F77216"/>
    <w:rsid w:val="00F77312"/>
    <w:rsid w:val="00F7731A"/>
    <w:rsid w:val="00F7760C"/>
    <w:rsid w:val="00F77937"/>
    <w:rsid w:val="00F77BFA"/>
    <w:rsid w:val="00F80018"/>
    <w:rsid w:val="00F800EB"/>
    <w:rsid w:val="00F801DE"/>
    <w:rsid w:val="00F80373"/>
    <w:rsid w:val="00F803B5"/>
    <w:rsid w:val="00F80427"/>
    <w:rsid w:val="00F804F3"/>
    <w:rsid w:val="00F807A4"/>
    <w:rsid w:val="00F80898"/>
    <w:rsid w:val="00F808B2"/>
    <w:rsid w:val="00F80942"/>
    <w:rsid w:val="00F8096B"/>
    <w:rsid w:val="00F809C5"/>
    <w:rsid w:val="00F80A4E"/>
    <w:rsid w:val="00F80B03"/>
    <w:rsid w:val="00F80EBE"/>
    <w:rsid w:val="00F81012"/>
    <w:rsid w:val="00F8114D"/>
    <w:rsid w:val="00F81297"/>
    <w:rsid w:val="00F814B0"/>
    <w:rsid w:val="00F8151F"/>
    <w:rsid w:val="00F81554"/>
    <w:rsid w:val="00F816F4"/>
    <w:rsid w:val="00F81763"/>
    <w:rsid w:val="00F818BA"/>
    <w:rsid w:val="00F81CD0"/>
    <w:rsid w:val="00F81D37"/>
    <w:rsid w:val="00F82339"/>
    <w:rsid w:val="00F82343"/>
    <w:rsid w:val="00F826DB"/>
    <w:rsid w:val="00F82700"/>
    <w:rsid w:val="00F82D15"/>
    <w:rsid w:val="00F82F3F"/>
    <w:rsid w:val="00F82FDA"/>
    <w:rsid w:val="00F830CA"/>
    <w:rsid w:val="00F834AE"/>
    <w:rsid w:val="00F835E3"/>
    <w:rsid w:val="00F835F3"/>
    <w:rsid w:val="00F83703"/>
    <w:rsid w:val="00F83A43"/>
    <w:rsid w:val="00F83C91"/>
    <w:rsid w:val="00F83CCD"/>
    <w:rsid w:val="00F83ED5"/>
    <w:rsid w:val="00F83F8C"/>
    <w:rsid w:val="00F84163"/>
    <w:rsid w:val="00F84386"/>
    <w:rsid w:val="00F84647"/>
    <w:rsid w:val="00F84797"/>
    <w:rsid w:val="00F8491E"/>
    <w:rsid w:val="00F84A49"/>
    <w:rsid w:val="00F84C4D"/>
    <w:rsid w:val="00F84E00"/>
    <w:rsid w:val="00F84E1A"/>
    <w:rsid w:val="00F8502E"/>
    <w:rsid w:val="00F8519F"/>
    <w:rsid w:val="00F851D9"/>
    <w:rsid w:val="00F8567E"/>
    <w:rsid w:val="00F856E6"/>
    <w:rsid w:val="00F85743"/>
    <w:rsid w:val="00F857A1"/>
    <w:rsid w:val="00F858AF"/>
    <w:rsid w:val="00F8596B"/>
    <w:rsid w:val="00F859FA"/>
    <w:rsid w:val="00F85A5F"/>
    <w:rsid w:val="00F85BE9"/>
    <w:rsid w:val="00F85CA2"/>
    <w:rsid w:val="00F85CB8"/>
    <w:rsid w:val="00F85F45"/>
    <w:rsid w:val="00F86432"/>
    <w:rsid w:val="00F8681E"/>
    <w:rsid w:val="00F8683A"/>
    <w:rsid w:val="00F868AB"/>
    <w:rsid w:val="00F86A4A"/>
    <w:rsid w:val="00F86B45"/>
    <w:rsid w:val="00F86C28"/>
    <w:rsid w:val="00F86CF8"/>
    <w:rsid w:val="00F86DE8"/>
    <w:rsid w:val="00F86ECF"/>
    <w:rsid w:val="00F86F67"/>
    <w:rsid w:val="00F87082"/>
    <w:rsid w:val="00F8710E"/>
    <w:rsid w:val="00F87368"/>
    <w:rsid w:val="00F8768D"/>
    <w:rsid w:val="00F876D1"/>
    <w:rsid w:val="00F876DC"/>
    <w:rsid w:val="00F876FD"/>
    <w:rsid w:val="00F87A7F"/>
    <w:rsid w:val="00F87AD0"/>
    <w:rsid w:val="00F87B1A"/>
    <w:rsid w:val="00F87CCF"/>
    <w:rsid w:val="00F87D67"/>
    <w:rsid w:val="00F87E90"/>
    <w:rsid w:val="00F87F67"/>
    <w:rsid w:val="00F9011F"/>
    <w:rsid w:val="00F9012D"/>
    <w:rsid w:val="00F9023F"/>
    <w:rsid w:val="00F90395"/>
    <w:rsid w:val="00F903F4"/>
    <w:rsid w:val="00F9046A"/>
    <w:rsid w:val="00F90710"/>
    <w:rsid w:val="00F90DC0"/>
    <w:rsid w:val="00F90E5D"/>
    <w:rsid w:val="00F90E72"/>
    <w:rsid w:val="00F90F2A"/>
    <w:rsid w:val="00F90F41"/>
    <w:rsid w:val="00F90F93"/>
    <w:rsid w:val="00F911AF"/>
    <w:rsid w:val="00F912DE"/>
    <w:rsid w:val="00F916C0"/>
    <w:rsid w:val="00F91863"/>
    <w:rsid w:val="00F91878"/>
    <w:rsid w:val="00F919D1"/>
    <w:rsid w:val="00F91B6B"/>
    <w:rsid w:val="00F92231"/>
    <w:rsid w:val="00F92282"/>
    <w:rsid w:val="00F922EE"/>
    <w:rsid w:val="00F9261F"/>
    <w:rsid w:val="00F92BC0"/>
    <w:rsid w:val="00F92C2F"/>
    <w:rsid w:val="00F92DBF"/>
    <w:rsid w:val="00F92E3B"/>
    <w:rsid w:val="00F92EA4"/>
    <w:rsid w:val="00F93178"/>
    <w:rsid w:val="00F9318E"/>
    <w:rsid w:val="00F93487"/>
    <w:rsid w:val="00F935A1"/>
    <w:rsid w:val="00F935DD"/>
    <w:rsid w:val="00F93781"/>
    <w:rsid w:val="00F937C5"/>
    <w:rsid w:val="00F93980"/>
    <w:rsid w:val="00F93C59"/>
    <w:rsid w:val="00F93F4F"/>
    <w:rsid w:val="00F94047"/>
    <w:rsid w:val="00F940C4"/>
    <w:rsid w:val="00F940F5"/>
    <w:rsid w:val="00F94273"/>
    <w:rsid w:val="00F94388"/>
    <w:rsid w:val="00F9441D"/>
    <w:rsid w:val="00F94478"/>
    <w:rsid w:val="00F9455C"/>
    <w:rsid w:val="00F947C2"/>
    <w:rsid w:val="00F9492A"/>
    <w:rsid w:val="00F949A2"/>
    <w:rsid w:val="00F94AFE"/>
    <w:rsid w:val="00F94B53"/>
    <w:rsid w:val="00F94BF8"/>
    <w:rsid w:val="00F955FA"/>
    <w:rsid w:val="00F956E0"/>
    <w:rsid w:val="00F956F7"/>
    <w:rsid w:val="00F9570D"/>
    <w:rsid w:val="00F95AC2"/>
    <w:rsid w:val="00F95B6C"/>
    <w:rsid w:val="00F95B7B"/>
    <w:rsid w:val="00F95CF0"/>
    <w:rsid w:val="00F95DD9"/>
    <w:rsid w:val="00F95F21"/>
    <w:rsid w:val="00F95FA8"/>
    <w:rsid w:val="00F96201"/>
    <w:rsid w:val="00F964D2"/>
    <w:rsid w:val="00F9660D"/>
    <w:rsid w:val="00F96654"/>
    <w:rsid w:val="00F96899"/>
    <w:rsid w:val="00F96B06"/>
    <w:rsid w:val="00F96E8A"/>
    <w:rsid w:val="00F970B8"/>
    <w:rsid w:val="00F97147"/>
    <w:rsid w:val="00F9719E"/>
    <w:rsid w:val="00F973A6"/>
    <w:rsid w:val="00F9746F"/>
    <w:rsid w:val="00F97782"/>
    <w:rsid w:val="00F97B24"/>
    <w:rsid w:val="00F97D66"/>
    <w:rsid w:val="00F97D79"/>
    <w:rsid w:val="00F97E23"/>
    <w:rsid w:val="00FA065A"/>
    <w:rsid w:val="00FA06F6"/>
    <w:rsid w:val="00FA07F4"/>
    <w:rsid w:val="00FA0827"/>
    <w:rsid w:val="00FA0892"/>
    <w:rsid w:val="00FA0A69"/>
    <w:rsid w:val="00FA0BA9"/>
    <w:rsid w:val="00FA0BE4"/>
    <w:rsid w:val="00FA0C46"/>
    <w:rsid w:val="00FA0C9D"/>
    <w:rsid w:val="00FA0CFB"/>
    <w:rsid w:val="00FA0D82"/>
    <w:rsid w:val="00FA0E51"/>
    <w:rsid w:val="00FA0FDE"/>
    <w:rsid w:val="00FA107D"/>
    <w:rsid w:val="00FA1264"/>
    <w:rsid w:val="00FA129B"/>
    <w:rsid w:val="00FA16E5"/>
    <w:rsid w:val="00FA175E"/>
    <w:rsid w:val="00FA1762"/>
    <w:rsid w:val="00FA1975"/>
    <w:rsid w:val="00FA1998"/>
    <w:rsid w:val="00FA1ADE"/>
    <w:rsid w:val="00FA1D90"/>
    <w:rsid w:val="00FA1E23"/>
    <w:rsid w:val="00FA1F85"/>
    <w:rsid w:val="00FA2092"/>
    <w:rsid w:val="00FA244D"/>
    <w:rsid w:val="00FA270E"/>
    <w:rsid w:val="00FA2942"/>
    <w:rsid w:val="00FA2B01"/>
    <w:rsid w:val="00FA2D15"/>
    <w:rsid w:val="00FA2EBC"/>
    <w:rsid w:val="00FA2EDE"/>
    <w:rsid w:val="00FA304B"/>
    <w:rsid w:val="00FA3300"/>
    <w:rsid w:val="00FA34DC"/>
    <w:rsid w:val="00FA364A"/>
    <w:rsid w:val="00FA364F"/>
    <w:rsid w:val="00FA3BA0"/>
    <w:rsid w:val="00FA3C0C"/>
    <w:rsid w:val="00FA3D6E"/>
    <w:rsid w:val="00FA4074"/>
    <w:rsid w:val="00FA42D1"/>
    <w:rsid w:val="00FA4538"/>
    <w:rsid w:val="00FA458B"/>
    <w:rsid w:val="00FA45FB"/>
    <w:rsid w:val="00FA4AB8"/>
    <w:rsid w:val="00FA4BB0"/>
    <w:rsid w:val="00FA4D36"/>
    <w:rsid w:val="00FA4E83"/>
    <w:rsid w:val="00FA53F0"/>
    <w:rsid w:val="00FA5455"/>
    <w:rsid w:val="00FA5AF2"/>
    <w:rsid w:val="00FA5B90"/>
    <w:rsid w:val="00FA5DFA"/>
    <w:rsid w:val="00FA5E4B"/>
    <w:rsid w:val="00FA6089"/>
    <w:rsid w:val="00FA61BC"/>
    <w:rsid w:val="00FA61C5"/>
    <w:rsid w:val="00FA629B"/>
    <w:rsid w:val="00FA634B"/>
    <w:rsid w:val="00FA6379"/>
    <w:rsid w:val="00FA6504"/>
    <w:rsid w:val="00FA65C9"/>
    <w:rsid w:val="00FA66EB"/>
    <w:rsid w:val="00FA6CB4"/>
    <w:rsid w:val="00FA6F99"/>
    <w:rsid w:val="00FA71AF"/>
    <w:rsid w:val="00FA72BD"/>
    <w:rsid w:val="00FA757E"/>
    <w:rsid w:val="00FA791C"/>
    <w:rsid w:val="00FA795B"/>
    <w:rsid w:val="00FA79B4"/>
    <w:rsid w:val="00FA7A61"/>
    <w:rsid w:val="00FA7AB6"/>
    <w:rsid w:val="00FA7C94"/>
    <w:rsid w:val="00FB00E7"/>
    <w:rsid w:val="00FB01C5"/>
    <w:rsid w:val="00FB0410"/>
    <w:rsid w:val="00FB04A0"/>
    <w:rsid w:val="00FB05B5"/>
    <w:rsid w:val="00FB0A54"/>
    <w:rsid w:val="00FB0A88"/>
    <w:rsid w:val="00FB0B79"/>
    <w:rsid w:val="00FB0C2C"/>
    <w:rsid w:val="00FB0CB1"/>
    <w:rsid w:val="00FB0E08"/>
    <w:rsid w:val="00FB1265"/>
    <w:rsid w:val="00FB1339"/>
    <w:rsid w:val="00FB1425"/>
    <w:rsid w:val="00FB1459"/>
    <w:rsid w:val="00FB18CF"/>
    <w:rsid w:val="00FB1A7A"/>
    <w:rsid w:val="00FB1B9F"/>
    <w:rsid w:val="00FB1D0F"/>
    <w:rsid w:val="00FB1DF9"/>
    <w:rsid w:val="00FB1FBE"/>
    <w:rsid w:val="00FB239A"/>
    <w:rsid w:val="00FB23E3"/>
    <w:rsid w:val="00FB241B"/>
    <w:rsid w:val="00FB271B"/>
    <w:rsid w:val="00FB2993"/>
    <w:rsid w:val="00FB2ED9"/>
    <w:rsid w:val="00FB3096"/>
    <w:rsid w:val="00FB322B"/>
    <w:rsid w:val="00FB3573"/>
    <w:rsid w:val="00FB357E"/>
    <w:rsid w:val="00FB3AC7"/>
    <w:rsid w:val="00FB3D06"/>
    <w:rsid w:val="00FB3EE5"/>
    <w:rsid w:val="00FB3F46"/>
    <w:rsid w:val="00FB41FE"/>
    <w:rsid w:val="00FB4247"/>
    <w:rsid w:val="00FB44D2"/>
    <w:rsid w:val="00FB47D0"/>
    <w:rsid w:val="00FB4893"/>
    <w:rsid w:val="00FB48A8"/>
    <w:rsid w:val="00FB4953"/>
    <w:rsid w:val="00FB4B56"/>
    <w:rsid w:val="00FB5342"/>
    <w:rsid w:val="00FB5372"/>
    <w:rsid w:val="00FB54B4"/>
    <w:rsid w:val="00FB55C5"/>
    <w:rsid w:val="00FB5A60"/>
    <w:rsid w:val="00FB5AB7"/>
    <w:rsid w:val="00FB5B53"/>
    <w:rsid w:val="00FB5CBE"/>
    <w:rsid w:val="00FB5CC1"/>
    <w:rsid w:val="00FB5FA0"/>
    <w:rsid w:val="00FB6008"/>
    <w:rsid w:val="00FB6261"/>
    <w:rsid w:val="00FB653D"/>
    <w:rsid w:val="00FB6551"/>
    <w:rsid w:val="00FB6570"/>
    <w:rsid w:val="00FB65D5"/>
    <w:rsid w:val="00FB6656"/>
    <w:rsid w:val="00FB6B74"/>
    <w:rsid w:val="00FB6C2D"/>
    <w:rsid w:val="00FB6C7F"/>
    <w:rsid w:val="00FB74D7"/>
    <w:rsid w:val="00FB752A"/>
    <w:rsid w:val="00FB7620"/>
    <w:rsid w:val="00FB7848"/>
    <w:rsid w:val="00FB79A1"/>
    <w:rsid w:val="00FB7A45"/>
    <w:rsid w:val="00FB7A99"/>
    <w:rsid w:val="00FB7AB8"/>
    <w:rsid w:val="00FB7B65"/>
    <w:rsid w:val="00FB7C0F"/>
    <w:rsid w:val="00FB7F14"/>
    <w:rsid w:val="00FC01FC"/>
    <w:rsid w:val="00FC0425"/>
    <w:rsid w:val="00FC055F"/>
    <w:rsid w:val="00FC0AA4"/>
    <w:rsid w:val="00FC0AE9"/>
    <w:rsid w:val="00FC0BF0"/>
    <w:rsid w:val="00FC0D38"/>
    <w:rsid w:val="00FC0E28"/>
    <w:rsid w:val="00FC0ECF"/>
    <w:rsid w:val="00FC1338"/>
    <w:rsid w:val="00FC142D"/>
    <w:rsid w:val="00FC1522"/>
    <w:rsid w:val="00FC1853"/>
    <w:rsid w:val="00FC1CE2"/>
    <w:rsid w:val="00FC1D3C"/>
    <w:rsid w:val="00FC2178"/>
    <w:rsid w:val="00FC22BB"/>
    <w:rsid w:val="00FC2313"/>
    <w:rsid w:val="00FC2777"/>
    <w:rsid w:val="00FC294D"/>
    <w:rsid w:val="00FC2A11"/>
    <w:rsid w:val="00FC2D82"/>
    <w:rsid w:val="00FC2E87"/>
    <w:rsid w:val="00FC2EA8"/>
    <w:rsid w:val="00FC2F18"/>
    <w:rsid w:val="00FC2F62"/>
    <w:rsid w:val="00FC30CD"/>
    <w:rsid w:val="00FC30E2"/>
    <w:rsid w:val="00FC3468"/>
    <w:rsid w:val="00FC3480"/>
    <w:rsid w:val="00FC35A1"/>
    <w:rsid w:val="00FC37A4"/>
    <w:rsid w:val="00FC3C02"/>
    <w:rsid w:val="00FC3C42"/>
    <w:rsid w:val="00FC3C69"/>
    <w:rsid w:val="00FC41EC"/>
    <w:rsid w:val="00FC4224"/>
    <w:rsid w:val="00FC424A"/>
    <w:rsid w:val="00FC4323"/>
    <w:rsid w:val="00FC44F2"/>
    <w:rsid w:val="00FC46DB"/>
    <w:rsid w:val="00FC495A"/>
    <w:rsid w:val="00FC49E3"/>
    <w:rsid w:val="00FC4A0E"/>
    <w:rsid w:val="00FC4B7B"/>
    <w:rsid w:val="00FC4C7D"/>
    <w:rsid w:val="00FC4EA7"/>
    <w:rsid w:val="00FC4F65"/>
    <w:rsid w:val="00FC5087"/>
    <w:rsid w:val="00FC518A"/>
    <w:rsid w:val="00FC5211"/>
    <w:rsid w:val="00FC53F0"/>
    <w:rsid w:val="00FC57D6"/>
    <w:rsid w:val="00FC5ABF"/>
    <w:rsid w:val="00FC5B47"/>
    <w:rsid w:val="00FC5C44"/>
    <w:rsid w:val="00FC5C50"/>
    <w:rsid w:val="00FC5EBD"/>
    <w:rsid w:val="00FC6239"/>
    <w:rsid w:val="00FC6265"/>
    <w:rsid w:val="00FC65D6"/>
    <w:rsid w:val="00FC66A5"/>
    <w:rsid w:val="00FC66D8"/>
    <w:rsid w:val="00FC67E4"/>
    <w:rsid w:val="00FC6822"/>
    <w:rsid w:val="00FC6920"/>
    <w:rsid w:val="00FC69A5"/>
    <w:rsid w:val="00FC6F5A"/>
    <w:rsid w:val="00FC6F8B"/>
    <w:rsid w:val="00FC7019"/>
    <w:rsid w:val="00FC7166"/>
    <w:rsid w:val="00FC753E"/>
    <w:rsid w:val="00FC79E2"/>
    <w:rsid w:val="00FC7E6B"/>
    <w:rsid w:val="00FD024B"/>
    <w:rsid w:val="00FD0273"/>
    <w:rsid w:val="00FD02BD"/>
    <w:rsid w:val="00FD04EA"/>
    <w:rsid w:val="00FD05EF"/>
    <w:rsid w:val="00FD0712"/>
    <w:rsid w:val="00FD0A4D"/>
    <w:rsid w:val="00FD0BAB"/>
    <w:rsid w:val="00FD0C06"/>
    <w:rsid w:val="00FD0C85"/>
    <w:rsid w:val="00FD0D60"/>
    <w:rsid w:val="00FD0D71"/>
    <w:rsid w:val="00FD0D83"/>
    <w:rsid w:val="00FD1140"/>
    <w:rsid w:val="00FD122B"/>
    <w:rsid w:val="00FD1953"/>
    <w:rsid w:val="00FD1A44"/>
    <w:rsid w:val="00FD1B04"/>
    <w:rsid w:val="00FD1B1D"/>
    <w:rsid w:val="00FD1BE1"/>
    <w:rsid w:val="00FD1BF6"/>
    <w:rsid w:val="00FD1F6B"/>
    <w:rsid w:val="00FD21DD"/>
    <w:rsid w:val="00FD2294"/>
    <w:rsid w:val="00FD22AC"/>
    <w:rsid w:val="00FD2318"/>
    <w:rsid w:val="00FD2481"/>
    <w:rsid w:val="00FD253B"/>
    <w:rsid w:val="00FD26C3"/>
    <w:rsid w:val="00FD27B1"/>
    <w:rsid w:val="00FD27C9"/>
    <w:rsid w:val="00FD2A9D"/>
    <w:rsid w:val="00FD2C17"/>
    <w:rsid w:val="00FD2DD8"/>
    <w:rsid w:val="00FD2DF4"/>
    <w:rsid w:val="00FD2E74"/>
    <w:rsid w:val="00FD2FFA"/>
    <w:rsid w:val="00FD31F5"/>
    <w:rsid w:val="00FD321C"/>
    <w:rsid w:val="00FD35F8"/>
    <w:rsid w:val="00FD363E"/>
    <w:rsid w:val="00FD3670"/>
    <w:rsid w:val="00FD3750"/>
    <w:rsid w:val="00FD3761"/>
    <w:rsid w:val="00FD3B0A"/>
    <w:rsid w:val="00FD3BED"/>
    <w:rsid w:val="00FD3C93"/>
    <w:rsid w:val="00FD3F43"/>
    <w:rsid w:val="00FD41F7"/>
    <w:rsid w:val="00FD423A"/>
    <w:rsid w:val="00FD4642"/>
    <w:rsid w:val="00FD46DE"/>
    <w:rsid w:val="00FD4732"/>
    <w:rsid w:val="00FD4945"/>
    <w:rsid w:val="00FD4953"/>
    <w:rsid w:val="00FD498B"/>
    <w:rsid w:val="00FD4990"/>
    <w:rsid w:val="00FD49E2"/>
    <w:rsid w:val="00FD4A43"/>
    <w:rsid w:val="00FD4E07"/>
    <w:rsid w:val="00FD4EE8"/>
    <w:rsid w:val="00FD5007"/>
    <w:rsid w:val="00FD50C9"/>
    <w:rsid w:val="00FD51F3"/>
    <w:rsid w:val="00FD5207"/>
    <w:rsid w:val="00FD5497"/>
    <w:rsid w:val="00FD54CC"/>
    <w:rsid w:val="00FD55C6"/>
    <w:rsid w:val="00FD5680"/>
    <w:rsid w:val="00FD5762"/>
    <w:rsid w:val="00FD577F"/>
    <w:rsid w:val="00FD5838"/>
    <w:rsid w:val="00FD5ECF"/>
    <w:rsid w:val="00FD5F5D"/>
    <w:rsid w:val="00FD6234"/>
    <w:rsid w:val="00FD6515"/>
    <w:rsid w:val="00FD6521"/>
    <w:rsid w:val="00FD652E"/>
    <w:rsid w:val="00FD6632"/>
    <w:rsid w:val="00FD6863"/>
    <w:rsid w:val="00FD6AE8"/>
    <w:rsid w:val="00FD6BFE"/>
    <w:rsid w:val="00FD6E00"/>
    <w:rsid w:val="00FD6F71"/>
    <w:rsid w:val="00FD6F83"/>
    <w:rsid w:val="00FD6FC6"/>
    <w:rsid w:val="00FD703A"/>
    <w:rsid w:val="00FD7226"/>
    <w:rsid w:val="00FD7542"/>
    <w:rsid w:val="00FD75F8"/>
    <w:rsid w:val="00FD7724"/>
    <w:rsid w:val="00FD77A8"/>
    <w:rsid w:val="00FD77A9"/>
    <w:rsid w:val="00FD7C4C"/>
    <w:rsid w:val="00FE0363"/>
    <w:rsid w:val="00FE047C"/>
    <w:rsid w:val="00FE052E"/>
    <w:rsid w:val="00FE06FC"/>
    <w:rsid w:val="00FE0749"/>
    <w:rsid w:val="00FE0919"/>
    <w:rsid w:val="00FE0C3C"/>
    <w:rsid w:val="00FE0E09"/>
    <w:rsid w:val="00FE0F86"/>
    <w:rsid w:val="00FE0FF3"/>
    <w:rsid w:val="00FE104C"/>
    <w:rsid w:val="00FE11B3"/>
    <w:rsid w:val="00FE120D"/>
    <w:rsid w:val="00FE1284"/>
    <w:rsid w:val="00FE137D"/>
    <w:rsid w:val="00FE144C"/>
    <w:rsid w:val="00FE1757"/>
    <w:rsid w:val="00FE1767"/>
    <w:rsid w:val="00FE1787"/>
    <w:rsid w:val="00FE1ACD"/>
    <w:rsid w:val="00FE1BBC"/>
    <w:rsid w:val="00FE1C93"/>
    <w:rsid w:val="00FE1D10"/>
    <w:rsid w:val="00FE1FE2"/>
    <w:rsid w:val="00FE22F3"/>
    <w:rsid w:val="00FE23AF"/>
    <w:rsid w:val="00FE27C7"/>
    <w:rsid w:val="00FE27D9"/>
    <w:rsid w:val="00FE2872"/>
    <w:rsid w:val="00FE2885"/>
    <w:rsid w:val="00FE2AC4"/>
    <w:rsid w:val="00FE2DD2"/>
    <w:rsid w:val="00FE2E68"/>
    <w:rsid w:val="00FE2EA1"/>
    <w:rsid w:val="00FE2EA7"/>
    <w:rsid w:val="00FE2F1D"/>
    <w:rsid w:val="00FE30D9"/>
    <w:rsid w:val="00FE317C"/>
    <w:rsid w:val="00FE343E"/>
    <w:rsid w:val="00FE353A"/>
    <w:rsid w:val="00FE37D2"/>
    <w:rsid w:val="00FE3924"/>
    <w:rsid w:val="00FE3BDF"/>
    <w:rsid w:val="00FE3C7A"/>
    <w:rsid w:val="00FE3D7A"/>
    <w:rsid w:val="00FE3DCD"/>
    <w:rsid w:val="00FE3F11"/>
    <w:rsid w:val="00FE3F42"/>
    <w:rsid w:val="00FE403E"/>
    <w:rsid w:val="00FE449D"/>
    <w:rsid w:val="00FE484E"/>
    <w:rsid w:val="00FE4A61"/>
    <w:rsid w:val="00FE4B02"/>
    <w:rsid w:val="00FE50A9"/>
    <w:rsid w:val="00FE53FF"/>
    <w:rsid w:val="00FE5664"/>
    <w:rsid w:val="00FE5678"/>
    <w:rsid w:val="00FE56A7"/>
    <w:rsid w:val="00FE5881"/>
    <w:rsid w:val="00FE588A"/>
    <w:rsid w:val="00FE58ED"/>
    <w:rsid w:val="00FE5A92"/>
    <w:rsid w:val="00FE5C0A"/>
    <w:rsid w:val="00FE5CBA"/>
    <w:rsid w:val="00FE5D58"/>
    <w:rsid w:val="00FE5EAA"/>
    <w:rsid w:val="00FE5FB5"/>
    <w:rsid w:val="00FE63F0"/>
    <w:rsid w:val="00FE63FB"/>
    <w:rsid w:val="00FE693B"/>
    <w:rsid w:val="00FE6CBD"/>
    <w:rsid w:val="00FE6EDD"/>
    <w:rsid w:val="00FE71FD"/>
    <w:rsid w:val="00FE7456"/>
    <w:rsid w:val="00FE754C"/>
    <w:rsid w:val="00FE783D"/>
    <w:rsid w:val="00FE7AC6"/>
    <w:rsid w:val="00FE7AD9"/>
    <w:rsid w:val="00FE7B3C"/>
    <w:rsid w:val="00FE7C0B"/>
    <w:rsid w:val="00FE7D3A"/>
    <w:rsid w:val="00FE7D5A"/>
    <w:rsid w:val="00FE7E1D"/>
    <w:rsid w:val="00FE7F10"/>
    <w:rsid w:val="00FF001B"/>
    <w:rsid w:val="00FF004E"/>
    <w:rsid w:val="00FF0240"/>
    <w:rsid w:val="00FF028E"/>
    <w:rsid w:val="00FF0872"/>
    <w:rsid w:val="00FF08FD"/>
    <w:rsid w:val="00FF0931"/>
    <w:rsid w:val="00FF0B2F"/>
    <w:rsid w:val="00FF0CFA"/>
    <w:rsid w:val="00FF0F80"/>
    <w:rsid w:val="00FF0F88"/>
    <w:rsid w:val="00FF0F99"/>
    <w:rsid w:val="00FF111B"/>
    <w:rsid w:val="00FF1151"/>
    <w:rsid w:val="00FF1173"/>
    <w:rsid w:val="00FF1223"/>
    <w:rsid w:val="00FF122C"/>
    <w:rsid w:val="00FF13EB"/>
    <w:rsid w:val="00FF14B2"/>
    <w:rsid w:val="00FF16F7"/>
    <w:rsid w:val="00FF1962"/>
    <w:rsid w:val="00FF1C0F"/>
    <w:rsid w:val="00FF205F"/>
    <w:rsid w:val="00FF211E"/>
    <w:rsid w:val="00FF2544"/>
    <w:rsid w:val="00FF29BA"/>
    <w:rsid w:val="00FF2B00"/>
    <w:rsid w:val="00FF2C06"/>
    <w:rsid w:val="00FF2D0A"/>
    <w:rsid w:val="00FF2D4C"/>
    <w:rsid w:val="00FF2DC6"/>
    <w:rsid w:val="00FF2DE8"/>
    <w:rsid w:val="00FF2DF1"/>
    <w:rsid w:val="00FF2F74"/>
    <w:rsid w:val="00FF326D"/>
    <w:rsid w:val="00FF344D"/>
    <w:rsid w:val="00FF348F"/>
    <w:rsid w:val="00FF389C"/>
    <w:rsid w:val="00FF3A5F"/>
    <w:rsid w:val="00FF3AB7"/>
    <w:rsid w:val="00FF3AF4"/>
    <w:rsid w:val="00FF3B7F"/>
    <w:rsid w:val="00FF3CB1"/>
    <w:rsid w:val="00FF3D53"/>
    <w:rsid w:val="00FF3D80"/>
    <w:rsid w:val="00FF3E69"/>
    <w:rsid w:val="00FF40DB"/>
    <w:rsid w:val="00FF44B3"/>
    <w:rsid w:val="00FF45EF"/>
    <w:rsid w:val="00FF49F6"/>
    <w:rsid w:val="00FF4A00"/>
    <w:rsid w:val="00FF4B49"/>
    <w:rsid w:val="00FF4CED"/>
    <w:rsid w:val="00FF4ECB"/>
    <w:rsid w:val="00FF4FAE"/>
    <w:rsid w:val="00FF50DF"/>
    <w:rsid w:val="00FF5117"/>
    <w:rsid w:val="00FF5280"/>
    <w:rsid w:val="00FF537C"/>
    <w:rsid w:val="00FF5683"/>
    <w:rsid w:val="00FF593F"/>
    <w:rsid w:val="00FF5A0C"/>
    <w:rsid w:val="00FF5A1A"/>
    <w:rsid w:val="00FF5A62"/>
    <w:rsid w:val="00FF5BCC"/>
    <w:rsid w:val="00FF5C23"/>
    <w:rsid w:val="00FF5D08"/>
    <w:rsid w:val="00FF5E3E"/>
    <w:rsid w:val="00FF5FD8"/>
    <w:rsid w:val="00FF62ED"/>
    <w:rsid w:val="00FF6366"/>
    <w:rsid w:val="00FF6516"/>
    <w:rsid w:val="00FF6725"/>
    <w:rsid w:val="00FF6912"/>
    <w:rsid w:val="00FF6A43"/>
    <w:rsid w:val="00FF6C8D"/>
    <w:rsid w:val="00FF6C9E"/>
    <w:rsid w:val="00FF6E94"/>
    <w:rsid w:val="00FF6F79"/>
    <w:rsid w:val="00FF6F91"/>
    <w:rsid w:val="00FF70A8"/>
    <w:rsid w:val="00FF7187"/>
    <w:rsid w:val="00FF7240"/>
    <w:rsid w:val="00FF76B9"/>
    <w:rsid w:val="00FF7855"/>
    <w:rsid w:val="00FF786A"/>
    <w:rsid w:val="00FF7A63"/>
    <w:rsid w:val="00FF7B4F"/>
    <w:rsid w:val="00FF7E30"/>
    <w:rsid w:val="00FF7F78"/>
    <w:rsid w:val="00FF7FAD"/>
    <w:rsid w:val="138605C5"/>
    <w:rsid w:val="207031A3"/>
    <w:rsid w:val="235B7648"/>
    <w:rsid w:val="23BE0869"/>
    <w:rsid w:val="402F3C58"/>
    <w:rsid w:val="411F7640"/>
    <w:rsid w:val="477B34F4"/>
    <w:rsid w:val="52251564"/>
    <w:rsid w:val="54760965"/>
    <w:rsid w:val="596C4BD6"/>
    <w:rsid w:val="6CF3232B"/>
    <w:rsid w:val="7AF87458"/>
    <w:rsid w:val="7C443B19"/>
    <w:rsid w:val="7D030E3E"/>
    <w:rsid w:val="B6FF996A"/>
    <w:rsid w:val="F76F9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qFormat="1" w:unhideWhenUsed="0" w:uiPriority="0" w:semiHidden="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semiHidden/>
    <w:unhideWhenUsed/>
    <w:qFormat/>
    <w:uiPriority w:val="0"/>
    <w:pPr>
      <w:keepNext/>
      <w:keepLines/>
      <w:spacing w:before="260" w:after="260" w:line="416" w:lineRule="auto"/>
      <w:outlineLvl w:val="2"/>
    </w:pPr>
    <w:rPr>
      <w:b/>
      <w:bCs/>
      <w:sz w:val="32"/>
      <w:szCs w:val="32"/>
    </w:rPr>
  </w:style>
  <w:style w:type="paragraph" w:styleId="5">
    <w:name w:val="heading 9"/>
    <w:basedOn w:val="1"/>
    <w:next w:val="1"/>
    <w:link w:val="44"/>
    <w:qFormat/>
    <w:uiPriority w:val="0"/>
    <w:pPr>
      <w:keepNext/>
      <w:keepLines/>
      <w:spacing w:before="240" w:after="64" w:line="320" w:lineRule="auto"/>
      <w:outlineLvl w:val="8"/>
    </w:pPr>
    <w:rPr>
      <w:rFonts w:ascii="Cambria" w:hAnsi="Cambria"/>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libri Light" w:hAnsi="Calibri Light" w:eastAsia="黑体"/>
      <w:sz w:val="20"/>
      <w:szCs w:val="20"/>
    </w:rPr>
  </w:style>
  <w:style w:type="paragraph" w:styleId="7">
    <w:name w:val="List Bullet"/>
    <w:basedOn w:val="1"/>
    <w:qFormat/>
    <w:uiPriority w:val="0"/>
    <w:pPr>
      <w:widowControl/>
      <w:numPr>
        <w:ilvl w:val="0"/>
        <w:numId w:val="1"/>
      </w:numPr>
      <w:jc w:val="left"/>
    </w:pPr>
    <w:rPr>
      <w:snapToGrid w:val="0"/>
      <w:kern w:val="28"/>
      <w:sz w:val="24"/>
      <w:szCs w:val="20"/>
    </w:rPr>
  </w:style>
  <w:style w:type="paragraph" w:styleId="8">
    <w:name w:val="Document Map"/>
    <w:basedOn w:val="1"/>
    <w:link w:val="48"/>
    <w:semiHidden/>
    <w:qFormat/>
    <w:uiPriority w:val="0"/>
    <w:pPr>
      <w:shd w:val="clear" w:color="auto" w:fill="000080"/>
    </w:pPr>
  </w:style>
  <w:style w:type="paragraph" w:styleId="9">
    <w:name w:val="toa heading"/>
    <w:basedOn w:val="1"/>
    <w:next w:val="1"/>
    <w:qFormat/>
    <w:uiPriority w:val="0"/>
    <w:pPr>
      <w:widowControl/>
      <w:spacing w:before="120"/>
      <w:jc w:val="left"/>
    </w:pPr>
    <w:rPr>
      <w:rFonts w:ascii="Arial" w:hAnsi="Arial" w:cs="Arial"/>
      <w:b/>
      <w:bCs/>
      <w:snapToGrid w:val="0"/>
      <w:kern w:val="28"/>
      <w:sz w:val="24"/>
    </w:rPr>
  </w:style>
  <w:style w:type="paragraph" w:styleId="10">
    <w:name w:val="annotation text"/>
    <w:basedOn w:val="1"/>
    <w:link w:val="46"/>
    <w:qFormat/>
    <w:uiPriority w:val="0"/>
    <w:pPr>
      <w:jc w:val="left"/>
    </w:pPr>
  </w:style>
  <w:style w:type="paragraph" w:styleId="11">
    <w:name w:val="List Bullet 3"/>
    <w:basedOn w:val="1"/>
    <w:qFormat/>
    <w:uiPriority w:val="0"/>
    <w:pPr>
      <w:spacing w:line="360" w:lineRule="exact"/>
    </w:pPr>
    <w:rPr>
      <w:rFonts w:eastAsia="楷体_GB2312"/>
      <w:b/>
      <w:sz w:val="24"/>
    </w:rPr>
  </w:style>
  <w:style w:type="paragraph" w:styleId="12">
    <w:name w:val="Body Text"/>
    <w:basedOn w:val="1"/>
    <w:link w:val="53"/>
    <w:qFormat/>
    <w:uiPriority w:val="0"/>
    <w:pPr>
      <w:spacing w:after="120"/>
    </w:pPr>
  </w:style>
  <w:style w:type="paragraph" w:styleId="13">
    <w:name w:val="Body Text Indent"/>
    <w:basedOn w:val="1"/>
    <w:link w:val="52"/>
    <w:qFormat/>
    <w:uiPriority w:val="0"/>
    <w:pPr>
      <w:spacing w:after="120"/>
      <w:ind w:left="420" w:leftChars="200"/>
    </w:pPr>
  </w:style>
  <w:style w:type="paragraph" w:styleId="14">
    <w:name w:val="List Bullet 2"/>
    <w:basedOn w:val="1"/>
    <w:qFormat/>
    <w:uiPriority w:val="0"/>
    <w:pPr>
      <w:numPr>
        <w:ilvl w:val="0"/>
        <w:numId w:val="2"/>
      </w:numPr>
    </w:pPr>
  </w:style>
  <w:style w:type="paragraph" w:styleId="15">
    <w:name w:val="Plain Text"/>
    <w:basedOn w:val="1"/>
    <w:link w:val="42"/>
    <w:qFormat/>
    <w:uiPriority w:val="0"/>
    <w:rPr>
      <w:rFonts w:ascii="宋体" w:hAnsi="Courier New"/>
      <w:szCs w:val="21"/>
    </w:rPr>
  </w:style>
  <w:style w:type="paragraph" w:styleId="16">
    <w:name w:val="Date"/>
    <w:basedOn w:val="1"/>
    <w:next w:val="1"/>
    <w:link w:val="54"/>
    <w:qFormat/>
    <w:uiPriority w:val="0"/>
    <w:pPr>
      <w:ind w:left="100" w:leftChars="2500"/>
    </w:pPr>
  </w:style>
  <w:style w:type="paragraph" w:styleId="17">
    <w:name w:val="Body Text Indent 2"/>
    <w:basedOn w:val="1"/>
    <w:link w:val="51"/>
    <w:qFormat/>
    <w:uiPriority w:val="0"/>
    <w:pPr>
      <w:tabs>
        <w:tab w:val="left" w:pos="2340"/>
      </w:tabs>
      <w:spacing w:line="400" w:lineRule="atLeast"/>
      <w:ind w:left="2340" w:leftChars="1114" w:hanging="1"/>
    </w:pPr>
    <w:rPr>
      <w:rFonts w:eastAsia="楷体_GB2312"/>
      <w:sz w:val="24"/>
    </w:rPr>
  </w:style>
  <w:style w:type="paragraph" w:styleId="18">
    <w:name w:val="Balloon Text"/>
    <w:basedOn w:val="1"/>
    <w:link w:val="39"/>
    <w:semiHidden/>
    <w:qFormat/>
    <w:uiPriority w:val="0"/>
    <w:rPr>
      <w:sz w:val="18"/>
      <w:szCs w:val="18"/>
    </w:rPr>
  </w:style>
  <w:style w:type="paragraph" w:styleId="19">
    <w:name w:val="footer"/>
    <w:basedOn w:val="1"/>
    <w:link w:val="43"/>
    <w:qFormat/>
    <w:uiPriority w:val="99"/>
    <w:pPr>
      <w:tabs>
        <w:tab w:val="center" w:pos="4153"/>
        <w:tab w:val="right" w:pos="8306"/>
      </w:tabs>
      <w:snapToGrid w:val="0"/>
      <w:jc w:val="left"/>
    </w:pPr>
    <w:rPr>
      <w:sz w:val="18"/>
      <w:szCs w:val="18"/>
    </w:rPr>
  </w:style>
  <w:style w:type="paragraph" w:styleId="20">
    <w:name w:val="header"/>
    <w:basedOn w:val="1"/>
    <w:link w:val="50"/>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unhideWhenUsed/>
    <w:qFormat/>
    <w:uiPriority w:val="39"/>
    <w:pPr>
      <w:tabs>
        <w:tab w:val="left" w:pos="630"/>
        <w:tab w:val="right" w:leader="dot" w:pos="8296"/>
      </w:tabs>
    </w:pPr>
  </w:style>
  <w:style w:type="paragraph" w:styleId="22">
    <w:name w:val="index heading"/>
    <w:basedOn w:val="1"/>
    <w:next w:val="23"/>
    <w:semiHidden/>
    <w:qFormat/>
    <w:uiPriority w:val="0"/>
    <w:rPr>
      <w:rFonts w:ascii="Arial" w:hAnsi="Arial" w:cs="Arial"/>
      <w:b/>
      <w:bCs/>
    </w:rPr>
  </w:style>
  <w:style w:type="paragraph" w:styleId="23">
    <w:name w:val="index 1"/>
    <w:basedOn w:val="1"/>
    <w:next w:val="1"/>
    <w:semiHidden/>
    <w:qFormat/>
    <w:uiPriority w:val="0"/>
  </w:style>
  <w:style w:type="paragraph" w:styleId="24">
    <w:name w:val="footnote text"/>
    <w:basedOn w:val="1"/>
    <w:link w:val="152"/>
    <w:semiHidden/>
    <w:unhideWhenUsed/>
    <w:qFormat/>
    <w:uiPriority w:val="0"/>
    <w:pPr>
      <w:snapToGrid w:val="0"/>
      <w:jc w:val="left"/>
    </w:pPr>
    <w:rPr>
      <w:sz w:val="18"/>
      <w:szCs w:val="18"/>
    </w:rPr>
  </w:style>
  <w:style w:type="paragraph" w:styleId="25">
    <w:name w:val="Body Text Indent 3"/>
    <w:basedOn w:val="1"/>
    <w:link w:val="49"/>
    <w:qFormat/>
    <w:uiPriority w:val="0"/>
    <w:pPr>
      <w:spacing w:after="120"/>
      <w:ind w:left="420" w:leftChars="200"/>
    </w:pPr>
    <w:rPr>
      <w:sz w:val="16"/>
      <w:szCs w:val="16"/>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7">
    <w:name w:val="annotation subject"/>
    <w:basedOn w:val="10"/>
    <w:next w:val="10"/>
    <w:link w:val="45"/>
    <w:semiHidden/>
    <w:qFormat/>
    <w:uiPriority w:val="0"/>
    <w:rPr>
      <w:b/>
      <w:bCs/>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page number"/>
    <w:basedOn w:val="30"/>
    <w:qFormat/>
    <w:uiPriority w:val="0"/>
  </w:style>
  <w:style w:type="character" w:styleId="33">
    <w:name w:val="FollowedHyperlink"/>
    <w:qFormat/>
    <w:uiPriority w:val="0"/>
    <w:rPr>
      <w:color w:val="800080"/>
      <w:u w:val="single"/>
    </w:rPr>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character" w:styleId="36">
    <w:name w:val="footnote reference"/>
    <w:basedOn w:val="30"/>
    <w:semiHidden/>
    <w:unhideWhenUsed/>
    <w:qFormat/>
    <w:uiPriority w:val="0"/>
    <w:rPr>
      <w:vertAlign w:val="superscript"/>
    </w:rPr>
  </w:style>
  <w:style w:type="character" w:customStyle="1" w:styleId="37">
    <w:name w:val="标题 1 字符"/>
    <w:link w:val="2"/>
    <w:qFormat/>
    <w:uiPriority w:val="0"/>
    <w:rPr>
      <w:b/>
      <w:bCs/>
      <w:kern w:val="44"/>
      <w:sz w:val="44"/>
      <w:szCs w:val="44"/>
    </w:rPr>
  </w:style>
  <w:style w:type="character" w:customStyle="1" w:styleId="38">
    <w:name w:val="标题 3 字符"/>
    <w:basedOn w:val="30"/>
    <w:link w:val="4"/>
    <w:semiHidden/>
    <w:qFormat/>
    <w:uiPriority w:val="0"/>
    <w:rPr>
      <w:b/>
      <w:bCs/>
      <w:kern w:val="2"/>
      <w:sz w:val="32"/>
      <w:szCs w:val="32"/>
    </w:rPr>
  </w:style>
  <w:style w:type="character" w:customStyle="1" w:styleId="39">
    <w:name w:val="批注框文本 字符"/>
    <w:link w:val="18"/>
    <w:semiHidden/>
    <w:qFormat/>
    <w:uiPriority w:val="0"/>
    <w:rPr>
      <w:kern w:val="2"/>
      <w:sz w:val="18"/>
      <w:szCs w:val="18"/>
    </w:rPr>
  </w:style>
  <w:style w:type="character" w:customStyle="1" w:styleId="40">
    <w:name w:val="未处理的提及1"/>
    <w:unhideWhenUsed/>
    <w:qFormat/>
    <w:uiPriority w:val="99"/>
    <w:rPr>
      <w:color w:val="605E5C"/>
      <w:shd w:val="clear" w:color="auto" w:fill="E1DFDD"/>
    </w:rPr>
  </w:style>
  <w:style w:type="character" w:customStyle="1" w:styleId="41">
    <w:name w:val="DeltaView Insertion"/>
    <w:qFormat/>
    <w:uiPriority w:val="0"/>
    <w:rPr>
      <w:color w:val="0000FF"/>
      <w:spacing w:val="0"/>
      <w:u w:val="double"/>
    </w:rPr>
  </w:style>
  <w:style w:type="character" w:customStyle="1" w:styleId="42">
    <w:name w:val="纯文本 字符"/>
    <w:link w:val="15"/>
    <w:qFormat/>
    <w:uiPriority w:val="0"/>
    <w:rPr>
      <w:rFonts w:ascii="宋体" w:hAnsi="Courier New" w:cs="Courier New"/>
      <w:kern w:val="2"/>
      <w:sz w:val="21"/>
      <w:szCs w:val="21"/>
    </w:rPr>
  </w:style>
  <w:style w:type="character" w:customStyle="1" w:styleId="43">
    <w:name w:val="页脚 字符"/>
    <w:link w:val="19"/>
    <w:qFormat/>
    <w:uiPriority w:val="99"/>
    <w:rPr>
      <w:kern w:val="2"/>
      <w:sz w:val="18"/>
      <w:szCs w:val="18"/>
    </w:rPr>
  </w:style>
  <w:style w:type="character" w:customStyle="1" w:styleId="44">
    <w:name w:val="标题 9 字符"/>
    <w:link w:val="5"/>
    <w:semiHidden/>
    <w:qFormat/>
    <w:uiPriority w:val="0"/>
    <w:rPr>
      <w:rFonts w:ascii="Cambria" w:hAnsi="Cambria" w:eastAsia="宋体" w:cs="Times New Roman"/>
      <w:kern w:val="2"/>
      <w:sz w:val="21"/>
      <w:szCs w:val="21"/>
    </w:rPr>
  </w:style>
  <w:style w:type="character" w:customStyle="1" w:styleId="45">
    <w:name w:val="批注主题 字符"/>
    <w:link w:val="27"/>
    <w:semiHidden/>
    <w:qFormat/>
    <w:uiPriority w:val="0"/>
    <w:rPr>
      <w:b/>
      <w:bCs/>
      <w:kern w:val="2"/>
      <w:sz w:val="21"/>
      <w:szCs w:val="24"/>
    </w:rPr>
  </w:style>
  <w:style w:type="character" w:customStyle="1" w:styleId="46">
    <w:name w:val="批注文字 字符"/>
    <w:link w:val="10"/>
    <w:qFormat/>
    <w:uiPriority w:val="0"/>
    <w:rPr>
      <w:kern w:val="2"/>
      <w:sz w:val="21"/>
      <w:szCs w:val="24"/>
    </w:rPr>
  </w:style>
  <w:style w:type="character" w:customStyle="1" w:styleId="47">
    <w:name w:val="标题 2 字符"/>
    <w:link w:val="3"/>
    <w:qFormat/>
    <w:uiPriority w:val="0"/>
    <w:rPr>
      <w:rFonts w:ascii="Arial" w:hAnsi="Arial" w:eastAsia="黑体"/>
      <w:b/>
      <w:bCs/>
      <w:kern w:val="2"/>
      <w:sz w:val="32"/>
      <w:szCs w:val="32"/>
    </w:rPr>
  </w:style>
  <w:style w:type="character" w:customStyle="1" w:styleId="48">
    <w:name w:val="文档结构图 字符"/>
    <w:link w:val="8"/>
    <w:semiHidden/>
    <w:qFormat/>
    <w:uiPriority w:val="0"/>
    <w:rPr>
      <w:kern w:val="2"/>
      <w:sz w:val="21"/>
      <w:szCs w:val="24"/>
      <w:shd w:val="clear" w:color="auto" w:fill="000080"/>
    </w:rPr>
  </w:style>
  <w:style w:type="character" w:customStyle="1" w:styleId="49">
    <w:name w:val="正文文本缩进 3 字符"/>
    <w:link w:val="25"/>
    <w:qFormat/>
    <w:uiPriority w:val="0"/>
    <w:rPr>
      <w:kern w:val="2"/>
      <w:sz w:val="16"/>
      <w:szCs w:val="16"/>
    </w:rPr>
  </w:style>
  <w:style w:type="character" w:customStyle="1" w:styleId="50">
    <w:name w:val="页眉 字符"/>
    <w:link w:val="20"/>
    <w:qFormat/>
    <w:uiPriority w:val="0"/>
    <w:rPr>
      <w:kern w:val="2"/>
      <w:sz w:val="18"/>
      <w:szCs w:val="18"/>
    </w:rPr>
  </w:style>
  <w:style w:type="character" w:customStyle="1" w:styleId="51">
    <w:name w:val="正文文本缩进 2 字符"/>
    <w:link w:val="17"/>
    <w:qFormat/>
    <w:uiPriority w:val="0"/>
    <w:rPr>
      <w:rFonts w:eastAsia="楷体_GB2312"/>
      <w:kern w:val="2"/>
      <w:sz w:val="24"/>
      <w:szCs w:val="24"/>
    </w:rPr>
  </w:style>
  <w:style w:type="character" w:customStyle="1" w:styleId="52">
    <w:name w:val="正文文本缩进 字符"/>
    <w:link w:val="13"/>
    <w:qFormat/>
    <w:uiPriority w:val="0"/>
    <w:rPr>
      <w:kern w:val="2"/>
      <w:sz w:val="21"/>
      <w:szCs w:val="24"/>
    </w:rPr>
  </w:style>
  <w:style w:type="character" w:customStyle="1" w:styleId="53">
    <w:name w:val="正文文本 字符"/>
    <w:link w:val="12"/>
    <w:qFormat/>
    <w:uiPriority w:val="0"/>
    <w:rPr>
      <w:kern w:val="2"/>
      <w:sz w:val="21"/>
      <w:szCs w:val="24"/>
    </w:rPr>
  </w:style>
  <w:style w:type="character" w:customStyle="1" w:styleId="54">
    <w:name w:val="日期 字符"/>
    <w:link w:val="16"/>
    <w:qFormat/>
    <w:uiPriority w:val="0"/>
    <w:rPr>
      <w:kern w:val="2"/>
      <w:sz w:val="21"/>
      <w:szCs w:val="24"/>
    </w:rPr>
  </w:style>
  <w:style w:type="paragraph" w:customStyle="1" w:styleId="55">
    <w:name w:val="目录 41"/>
    <w:basedOn w:val="1"/>
    <w:next w:val="1"/>
    <w:qFormat/>
    <w:uiPriority w:val="39"/>
    <w:pPr>
      <w:ind w:left="630"/>
      <w:jc w:val="left"/>
    </w:pPr>
    <w:rPr>
      <w:sz w:val="18"/>
      <w:szCs w:val="18"/>
    </w:rPr>
  </w:style>
  <w:style w:type="paragraph" w:customStyle="1" w:styleId="56">
    <w:name w:val="目录 11"/>
    <w:basedOn w:val="1"/>
    <w:next w:val="1"/>
    <w:qFormat/>
    <w:uiPriority w:val="39"/>
    <w:pPr>
      <w:tabs>
        <w:tab w:val="left" w:pos="630"/>
        <w:tab w:val="right" w:leader="dot" w:pos="8296"/>
      </w:tabs>
      <w:spacing w:before="120" w:after="120"/>
      <w:jc w:val="left"/>
    </w:pPr>
    <w:rPr>
      <w:rFonts w:eastAsia="Times New Roman"/>
      <w:b/>
      <w:bCs/>
      <w:caps/>
      <w:sz w:val="24"/>
      <w:szCs w:val="20"/>
    </w:rPr>
  </w:style>
  <w:style w:type="paragraph" w:customStyle="1" w:styleId="57">
    <w:name w:val="目录 91"/>
    <w:basedOn w:val="1"/>
    <w:next w:val="1"/>
    <w:qFormat/>
    <w:uiPriority w:val="39"/>
    <w:pPr>
      <w:ind w:left="1680"/>
      <w:jc w:val="left"/>
    </w:pPr>
    <w:rPr>
      <w:sz w:val="18"/>
      <w:szCs w:val="18"/>
    </w:rPr>
  </w:style>
  <w:style w:type="paragraph" w:customStyle="1" w:styleId="58">
    <w:name w:val="目录 71"/>
    <w:basedOn w:val="1"/>
    <w:next w:val="1"/>
    <w:qFormat/>
    <w:uiPriority w:val="39"/>
    <w:pPr>
      <w:ind w:left="1260"/>
      <w:jc w:val="left"/>
    </w:pPr>
    <w:rPr>
      <w:sz w:val="18"/>
      <w:szCs w:val="18"/>
    </w:rPr>
  </w:style>
  <w:style w:type="paragraph" w:customStyle="1" w:styleId="59">
    <w:name w:val="目录 61"/>
    <w:basedOn w:val="1"/>
    <w:next w:val="1"/>
    <w:qFormat/>
    <w:uiPriority w:val="39"/>
    <w:pPr>
      <w:ind w:left="1050"/>
      <w:jc w:val="left"/>
    </w:pPr>
    <w:rPr>
      <w:sz w:val="18"/>
      <w:szCs w:val="18"/>
    </w:rPr>
  </w:style>
  <w:style w:type="paragraph" w:customStyle="1" w:styleId="60">
    <w:name w:val="目录 51"/>
    <w:basedOn w:val="1"/>
    <w:next w:val="1"/>
    <w:qFormat/>
    <w:uiPriority w:val="39"/>
    <w:pPr>
      <w:ind w:left="840"/>
      <w:jc w:val="left"/>
    </w:pPr>
    <w:rPr>
      <w:sz w:val="18"/>
      <w:szCs w:val="18"/>
    </w:rPr>
  </w:style>
  <w:style w:type="paragraph" w:customStyle="1" w:styleId="61">
    <w:name w:val="目录 21"/>
    <w:basedOn w:val="1"/>
    <w:next w:val="1"/>
    <w:qFormat/>
    <w:uiPriority w:val="39"/>
    <w:pPr>
      <w:ind w:left="210"/>
      <w:jc w:val="left"/>
    </w:pPr>
    <w:rPr>
      <w:smallCaps/>
      <w:sz w:val="20"/>
      <w:szCs w:val="20"/>
    </w:rPr>
  </w:style>
  <w:style w:type="paragraph" w:customStyle="1" w:styleId="62">
    <w:name w:val="目录 31"/>
    <w:basedOn w:val="1"/>
    <w:next w:val="1"/>
    <w:qFormat/>
    <w:uiPriority w:val="39"/>
    <w:pPr>
      <w:spacing w:line="380" w:lineRule="atLeast"/>
      <w:jc w:val="left"/>
    </w:pPr>
    <w:rPr>
      <w:rFonts w:eastAsia="楷体_GB2312"/>
      <w:b/>
      <w:iCs/>
      <w:sz w:val="24"/>
    </w:rPr>
  </w:style>
  <w:style w:type="paragraph" w:customStyle="1" w:styleId="63">
    <w:name w:val="目录 81"/>
    <w:basedOn w:val="1"/>
    <w:next w:val="1"/>
    <w:qFormat/>
    <w:uiPriority w:val="39"/>
    <w:pPr>
      <w:ind w:left="1470"/>
      <w:jc w:val="left"/>
    </w:pPr>
    <w:rPr>
      <w:sz w:val="18"/>
      <w:szCs w:val="18"/>
    </w:rPr>
  </w:style>
  <w:style w:type="paragraph" w:customStyle="1" w:styleId="64">
    <w:name w:val="FWB_L1"/>
    <w:basedOn w:val="1"/>
    <w:next w:val="65"/>
    <w:qFormat/>
    <w:uiPriority w:val="0"/>
    <w:pPr>
      <w:keepNext/>
      <w:keepLines/>
      <w:widowControl/>
      <w:tabs>
        <w:tab w:val="left" w:pos="360"/>
      </w:tabs>
      <w:spacing w:after="240"/>
      <w:jc w:val="left"/>
      <w:outlineLvl w:val="0"/>
    </w:pPr>
    <w:rPr>
      <w:b/>
      <w:smallCaps/>
      <w:kern w:val="0"/>
      <w:sz w:val="24"/>
      <w:szCs w:val="20"/>
      <w:lang w:val="en-GB" w:eastAsia="en-US"/>
    </w:rPr>
  </w:style>
  <w:style w:type="paragraph" w:customStyle="1" w:styleId="65">
    <w:name w:val="FWB_L2"/>
    <w:basedOn w:val="64"/>
    <w:qFormat/>
    <w:uiPriority w:val="0"/>
    <w:pPr>
      <w:keepNext w:val="0"/>
      <w:keepLines w:val="0"/>
      <w:jc w:val="both"/>
      <w:outlineLvl w:val="9"/>
    </w:pPr>
    <w:rPr>
      <w:b w:val="0"/>
      <w:smallCaps w:val="0"/>
    </w:rPr>
  </w:style>
  <w:style w:type="paragraph" w:customStyle="1" w:styleId="66">
    <w:name w:val="彩色列表 - 强调文字颜色 14"/>
    <w:basedOn w:val="1"/>
    <w:qFormat/>
    <w:uiPriority w:val="34"/>
    <w:pPr>
      <w:ind w:firstLine="420" w:firstLineChars="200"/>
    </w:pPr>
  </w:style>
  <w:style w:type="paragraph" w:customStyle="1" w:styleId="67">
    <w:name w:val="FWS_L2"/>
    <w:basedOn w:val="68"/>
    <w:next w:val="69"/>
    <w:qFormat/>
    <w:uiPriority w:val="0"/>
    <w:pPr>
      <w:pageBreakBefore w:val="0"/>
      <w:numPr>
        <w:ilvl w:val="1"/>
      </w:numPr>
      <w:spacing w:line="240" w:lineRule="auto"/>
      <w:outlineLvl w:val="1"/>
    </w:pPr>
    <w:rPr>
      <w:caps w:val="0"/>
    </w:rPr>
  </w:style>
  <w:style w:type="paragraph" w:customStyle="1" w:styleId="68">
    <w:name w:val="FWS_L1"/>
    <w:basedOn w:val="1"/>
    <w:next w:val="67"/>
    <w:qFormat/>
    <w:uiPriority w:val="0"/>
    <w:pPr>
      <w:keepNext/>
      <w:keepLines/>
      <w:pageBreakBefore/>
      <w:widowControl/>
      <w:numPr>
        <w:ilvl w:val="0"/>
        <w:numId w:val="3"/>
      </w:numPr>
      <w:spacing w:after="240" w:line="480" w:lineRule="auto"/>
      <w:jc w:val="center"/>
      <w:outlineLvl w:val="0"/>
    </w:pPr>
    <w:rPr>
      <w:b/>
      <w:caps/>
      <w:kern w:val="0"/>
      <w:sz w:val="24"/>
      <w:szCs w:val="20"/>
      <w:lang w:val="en-GB" w:eastAsia="en-US"/>
    </w:rPr>
  </w:style>
  <w:style w:type="paragraph" w:customStyle="1" w:styleId="69">
    <w:name w:val="FWS_L3"/>
    <w:basedOn w:val="67"/>
    <w:next w:val="70"/>
    <w:qFormat/>
    <w:uiPriority w:val="0"/>
    <w:pPr>
      <w:numPr>
        <w:ilvl w:val="2"/>
      </w:numPr>
      <w:jc w:val="left"/>
      <w:outlineLvl w:val="2"/>
    </w:pPr>
    <w:rPr>
      <w:smallCaps/>
    </w:rPr>
  </w:style>
  <w:style w:type="paragraph" w:customStyle="1" w:styleId="70">
    <w:name w:val="FWS_L5"/>
    <w:basedOn w:val="71"/>
    <w:qFormat/>
    <w:uiPriority w:val="0"/>
    <w:pPr>
      <w:numPr>
        <w:ilvl w:val="3"/>
      </w:numPr>
    </w:pPr>
  </w:style>
  <w:style w:type="paragraph" w:customStyle="1" w:styleId="71">
    <w:name w:val="FWS_L4"/>
    <w:basedOn w:val="69"/>
    <w:qFormat/>
    <w:uiPriority w:val="0"/>
    <w:pPr>
      <w:keepNext w:val="0"/>
      <w:keepLines w:val="0"/>
      <w:numPr>
        <w:ilvl w:val="4"/>
      </w:numPr>
      <w:jc w:val="both"/>
      <w:outlineLvl w:val="9"/>
    </w:pPr>
    <w:rPr>
      <w:b w:val="0"/>
      <w:smallCaps w:val="0"/>
    </w:rPr>
  </w:style>
  <w:style w:type="paragraph" w:customStyle="1" w:styleId="72">
    <w:name w:val="FWS_L7"/>
    <w:basedOn w:val="73"/>
    <w:qFormat/>
    <w:uiPriority w:val="0"/>
    <w:pPr>
      <w:numPr>
        <w:ilvl w:val="6"/>
      </w:numPr>
    </w:pPr>
  </w:style>
  <w:style w:type="paragraph" w:customStyle="1" w:styleId="73">
    <w:name w:val="FWS_L6"/>
    <w:basedOn w:val="70"/>
    <w:qFormat/>
    <w:uiPriority w:val="0"/>
    <w:pPr>
      <w:numPr>
        <w:ilvl w:val="5"/>
      </w:numPr>
    </w:pPr>
  </w:style>
  <w:style w:type="paragraph" w:customStyle="1" w:styleId="74">
    <w:name w:val="中等深浅网格 1 - 强调文字颜色 22"/>
    <w:basedOn w:val="1"/>
    <w:qFormat/>
    <w:uiPriority w:val="34"/>
    <w:pPr>
      <w:ind w:firstLine="420" w:firstLineChars="200"/>
    </w:pPr>
  </w:style>
  <w:style w:type="paragraph" w:customStyle="1" w:styleId="75">
    <w:name w:val="FWS_L9"/>
    <w:basedOn w:val="76"/>
    <w:qFormat/>
    <w:uiPriority w:val="0"/>
    <w:pPr>
      <w:numPr>
        <w:ilvl w:val="8"/>
      </w:numPr>
    </w:pPr>
  </w:style>
  <w:style w:type="paragraph" w:customStyle="1" w:styleId="76">
    <w:name w:val="FWS_L8"/>
    <w:basedOn w:val="72"/>
    <w:qFormat/>
    <w:uiPriority w:val="0"/>
    <w:pPr>
      <w:numPr>
        <w:ilvl w:val="7"/>
      </w:numPr>
    </w:pPr>
  </w:style>
  <w:style w:type="paragraph" w:customStyle="1" w:styleId="77">
    <w:name w:val="05 Body"/>
    <w:basedOn w:val="1"/>
    <w:qFormat/>
    <w:uiPriority w:val="0"/>
    <w:pPr>
      <w:widowControl/>
      <w:spacing w:line="290" w:lineRule="auto"/>
      <w:ind w:firstLine="200" w:firstLineChars="200"/>
    </w:pPr>
    <w:rPr>
      <w:rFonts w:ascii="Arial" w:hAnsi="Arial"/>
      <w:spacing w:val="20"/>
      <w:kern w:val="20"/>
      <w:sz w:val="24"/>
      <w:lang w:val="en-GB" w:eastAsia="en-US"/>
    </w:rPr>
  </w:style>
  <w:style w:type="paragraph" w:customStyle="1" w:styleId="78">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9">
    <w:name w:val="修订1"/>
    <w:qFormat/>
    <w:uiPriority w:val="71"/>
    <w:rPr>
      <w:rFonts w:ascii="Times New Roman" w:hAnsi="Times New Roman" w:eastAsia="宋体" w:cs="Times New Roman"/>
      <w:kern w:val="2"/>
      <w:sz w:val="21"/>
      <w:szCs w:val="24"/>
      <w:lang w:val="en-US" w:eastAsia="zh-CN" w:bidi="ar-SA"/>
    </w:rPr>
  </w:style>
  <w:style w:type="paragraph" w:customStyle="1" w:styleId="80">
    <w:name w:val="字元 字元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1">
    <w:name w:val="不明显强调4"/>
    <w:basedOn w:val="1"/>
    <w:qFormat/>
    <w:uiPriority w:val="72"/>
    <w:pPr>
      <w:widowControl/>
      <w:ind w:firstLine="420" w:firstLineChars="200"/>
      <w:jc w:val="left"/>
    </w:pPr>
    <w:rPr>
      <w:snapToGrid w:val="0"/>
      <w:kern w:val="28"/>
      <w:sz w:val="24"/>
      <w:szCs w:val="20"/>
    </w:rPr>
  </w:style>
  <w:style w:type="paragraph" w:customStyle="1" w:styleId="82">
    <w:name w:val="Char Char Char Char Char Char Char Char Char Char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3">
    <w:name w:val="3一后内容"/>
    <w:basedOn w:val="12"/>
    <w:qFormat/>
    <w:uiPriority w:val="0"/>
    <w:pPr>
      <w:spacing w:after="0" w:line="480" w:lineRule="exact"/>
      <w:ind w:firstLine="555"/>
    </w:pPr>
    <w:rPr>
      <w:rFonts w:ascii="仿宋_GB2312" w:hAnsi="宋体" w:eastAsia="仿宋_GB2312"/>
      <w:color w:val="000000"/>
      <w:sz w:val="28"/>
      <w:lang w:val="en-GB" w:eastAsia="en-US"/>
    </w:rPr>
  </w:style>
  <w:style w:type="paragraph" w:customStyle="1" w:styleId="84">
    <w:name w:val="段"/>
    <w:basedOn w:val="1"/>
    <w:qFormat/>
    <w:uiPriority w:val="0"/>
    <w:pPr>
      <w:widowControl/>
      <w:autoSpaceDE w:val="0"/>
      <w:autoSpaceDN w:val="0"/>
      <w:ind w:firstLine="420" w:firstLineChars="200"/>
    </w:pPr>
    <w:rPr>
      <w:rFonts w:ascii="宋体" w:hAnsi="宋体" w:cs="宋体"/>
      <w:kern w:val="0"/>
      <w:szCs w:val="21"/>
    </w:rPr>
  </w:style>
  <w:style w:type="paragraph" w:customStyle="1" w:styleId="85">
    <w:name w:val="FWB_L3"/>
    <w:basedOn w:val="65"/>
    <w:qFormat/>
    <w:uiPriority w:val="0"/>
  </w:style>
  <w:style w:type="paragraph" w:customStyle="1" w:styleId="86">
    <w:name w:val="2"/>
    <w:basedOn w:val="1"/>
    <w:next w:val="13"/>
    <w:qFormat/>
    <w:uiPriority w:val="0"/>
    <w:pPr>
      <w:spacing w:after="120"/>
      <w:ind w:left="420" w:leftChars="200"/>
    </w:pPr>
  </w:style>
  <w:style w:type="paragraph" w:customStyle="1" w:styleId="87">
    <w:name w:val="FWB Cont 4"/>
    <w:basedOn w:val="88"/>
    <w:qFormat/>
    <w:uiPriority w:val="0"/>
    <w:pPr>
      <w:ind w:left="1440"/>
    </w:pPr>
  </w:style>
  <w:style w:type="paragraph" w:customStyle="1" w:styleId="88">
    <w:name w:val="FWB Cont 3"/>
    <w:basedOn w:val="1"/>
    <w:qFormat/>
    <w:uiPriority w:val="0"/>
    <w:pPr>
      <w:widowControl/>
      <w:spacing w:after="240"/>
      <w:ind w:left="720"/>
    </w:pPr>
    <w:rPr>
      <w:kern w:val="0"/>
      <w:sz w:val="24"/>
      <w:szCs w:val="20"/>
      <w:lang w:val="en-GB" w:eastAsia="en-US"/>
    </w:rPr>
  </w:style>
  <w:style w:type="paragraph" w:customStyle="1" w:styleId="89">
    <w:name w:val="FWB_L8"/>
    <w:basedOn w:val="90"/>
    <w:qFormat/>
    <w:uiPriority w:val="0"/>
    <w:pPr>
      <w:tabs>
        <w:tab w:val="left" w:pos="360"/>
      </w:tabs>
    </w:pPr>
  </w:style>
  <w:style w:type="paragraph" w:customStyle="1" w:styleId="90">
    <w:name w:val="FWB_L7"/>
    <w:basedOn w:val="91"/>
    <w:qFormat/>
    <w:uiPriority w:val="0"/>
    <w:pPr>
      <w:tabs>
        <w:tab w:val="left" w:pos="360"/>
      </w:tabs>
    </w:pPr>
  </w:style>
  <w:style w:type="paragraph" w:customStyle="1" w:styleId="91">
    <w:name w:val="FWB_L6"/>
    <w:basedOn w:val="92"/>
    <w:qFormat/>
    <w:uiPriority w:val="0"/>
    <w:pPr>
      <w:tabs>
        <w:tab w:val="left" w:pos="360"/>
      </w:tabs>
    </w:pPr>
  </w:style>
  <w:style w:type="paragraph" w:customStyle="1" w:styleId="92">
    <w:name w:val="FWB_L5"/>
    <w:basedOn w:val="93"/>
    <w:qFormat/>
    <w:uiPriority w:val="0"/>
    <w:pPr>
      <w:tabs>
        <w:tab w:val="left" w:pos="360"/>
      </w:tabs>
    </w:pPr>
  </w:style>
  <w:style w:type="paragraph" w:customStyle="1" w:styleId="93">
    <w:name w:val="FWB_L4"/>
    <w:basedOn w:val="85"/>
    <w:qFormat/>
    <w:uiPriority w:val="0"/>
  </w:style>
  <w:style w:type="paragraph" w:customStyle="1" w:styleId="94">
    <w:name w:val="字元 字元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5">
    <w:name w:val="彩色列表 - 强调文字颜色 11"/>
    <w:basedOn w:val="1"/>
    <w:qFormat/>
    <w:uiPriority w:val="34"/>
    <w:pPr>
      <w:ind w:firstLine="420" w:firstLineChars="200"/>
    </w:pPr>
  </w:style>
  <w:style w:type="paragraph" w:customStyle="1" w:styleId="96">
    <w:name w:val="(a)"/>
    <w:basedOn w:val="12"/>
    <w:qFormat/>
    <w:uiPriority w:val="0"/>
    <w:pPr>
      <w:widowControl/>
      <w:spacing w:after="240"/>
      <w:ind w:left="720" w:hanging="720"/>
    </w:pPr>
    <w:rPr>
      <w:bCs/>
      <w:kern w:val="0"/>
      <w:sz w:val="24"/>
      <w:lang w:val="en-GB" w:eastAsia="en-US"/>
    </w:rPr>
  </w:style>
  <w:style w:type="paragraph" w:customStyle="1" w:styleId="97">
    <w:name w:val="02 Parties"/>
    <w:basedOn w:val="1"/>
    <w:qFormat/>
    <w:uiPriority w:val="0"/>
    <w:pPr>
      <w:widowControl/>
      <w:numPr>
        <w:ilvl w:val="0"/>
        <w:numId w:val="4"/>
      </w:numPr>
      <w:spacing w:line="290" w:lineRule="auto"/>
    </w:pPr>
    <w:rPr>
      <w:rFonts w:ascii="Arial" w:hAnsi="Arial"/>
      <w:kern w:val="20"/>
      <w:sz w:val="24"/>
      <w:szCs w:val="20"/>
      <w:lang w:val="en-GB" w:eastAsia="en-US"/>
    </w:rPr>
  </w:style>
  <w:style w:type="paragraph" w:customStyle="1" w:styleId="98">
    <w:name w:val="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9">
    <w:name w:val="Char Char Char Char Char Char Char Char Char Char Char Char Char Char3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0">
    <w:name w:val="字元 字元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1">
    <w:name w:val="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2">
    <w:name w:val="Char Char Char Char Char Char Char Char Char Char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3">
    <w:name w:val="彩色列表 - 强调文字颜色 12"/>
    <w:basedOn w:val="1"/>
    <w:qFormat/>
    <w:uiPriority w:val="34"/>
    <w:pPr>
      <w:ind w:firstLine="420" w:firstLineChars="200"/>
    </w:pPr>
  </w:style>
  <w:style w:type="paragraph" w:customStyle="1" w:styleId="104">
    <w:name w:val="Char Char Char Char 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5">
    <w:name w:val="1"/>
    <w:basedOn w:val="1"/>
    <w:next w:val="13"/>
    <w:qFormat/>
    <w:uiPriority w:val="0"/>
    <w:pPr>
      <w:spacing w:line="360" w:lineRule="auto"/>
      <w:ind w:firstLine="376"/>
    </w:pPr>
    <w:rPr>
      <w:sz w:val="24"/>
    </w:rPr>
  </w:style>
  <w:style w:type="paragraph" w:customStyle="1" w:styleId="106">
    <w:name w:val="深色列表 - 强调文字颜色 31"/>
    <w:qFormat/>
    <w:uiPriority w:val="71"/>
    <w:rPr>
      <w:rFonts w:ascii="Times New Roman" w:hAnsi="Times New Roman" w:eastAsia="宋体" w:cs="Times New Roman"/>
      <w:kern w:val="2"/>
      <w:sz w:val="21"/>
      <w:szCs w:val="24"/>
      <w:lang w:val="en-US" w:eastAsia="zh-CN" w:bidi="ar-SA"/>
    </w:rPr>
  </w:style>
  <w:style w:type="paragraph" w:customStyle="1" w:styleId="107">
    <w:name w:val="A2"/>
    <w:basedOn w:val="14"/>
    <w:qFormat/>
    <w:uiPriority w:val="0"/>
    <w:pPr>
      <w:numPr>
        <w:numId w:val="0"/>
      </w:numPr>
      <w:wordWrap w:val="0"/>
      <w:overflowPunct w:val="0"/>
      <w:spacing w:beforeLines="50" w:afterLines="50" w:line="380" w:lineRule="exact"/>
    </w:pPr>
    <w:rPr>
      <w:rFonts w:eastAsia="楷体_GB2312"/>
      <w:sz w:val="24"/>
    </w:rPr>
  </w:style>
  <w:style w:type="paragraph" w:customStyle="1" w:styleId="108">
    <w:name w:val="正文 + (中文) 楷体_GB2312"/>
    <w:basedOn w:val="15"/>
    <w:qFormat/>
    <w:uiPriority w:val="0"/>
    <w:pPr>
      <w:widowControl/>
      <w:spacing w:before="240" w:after="100" w:line="288" w:lineRule="auto"/>
      <w:ind w:firstLine="560" w:firstLineChars="200"/>
      <w:jc w:val="left"/>
    </w:pPr>
    <w:rPr>
      <w:rFonts w:ascii="Times New Roman" w:hAnsi="Times New Roman" w:eastAsia="楷体_GB2312"/>
      <w:spacing w:val="20"/>
      <w:sz w:val="24"/>
      <w:szCs w:val="24"/>
    </w:rPr>
  </w:style>
  <w:style w:type="paragraph" w:customStyle="1" w:styleId="109">
    <w:name w:val="样式 (中文) 楷体_GB2312 小四 行距: 最小值 19 磅"/>
    <w:basedOn w:val="65"/>
    <w:next w:val="85"/>
    <w:qFormat/>
    <w:uiPriority w:val="0"/>
    <w:pPr>
      <w:tabs>
        <w:tab w:val="left" w:pos="420"/>
        <w:tab w:val="left" w:pos="630"/>
      </w:tabs>
      <w:spacing w:after="0" w:line="380" w:lineRule="atLeast"/>
    </w:pPr>
    <w:rPr>
      <w:rFonts w:eastAsia="楷体_GB2312" w:cs="宋体"/>
    </w:rPr>
  </w:style>
  <w:style w:type="paragraph" w:customStyle="1" w:styleId="110">
    <w:name w:val="中等深浅列表 1 - 强调文字颜色 42"/>
    <w:qFormat/>
    <w:uiPriority w:val="71"/>
    <w:rPr>
      <w:rFonts w:ascii="Times New Roman" w:hAnsi="Times New Roman" w:eastAsia="宋体" w:cs="Times New Roman"/>
      <w:kern w:val="2"/>
      <w:sz w:val="21"/>
      <w:szCs w:val="24"/>
      <w:lang w:val="en-US" w:eastAsia="zh-CN" w:bidi="ar-SA"/>
    </w:rPr>
  </w:style>
  <w:style w:type="paragraph" w:customStyle="1" w:styleId="111">
    <w:name w:val="彩色底纹 - 强调文字颜色 11"/>
    <w:qFormat/>
    <w:uiPriority w:val="71"/>
    <w:rPr>
      <w:rFonts w:ascii="Times New Roman" w:hAnsi="Times New Roman" w:eastAsia="宋体" w:cs="Times New Roman"/>
      <w:kern w:val="2"/>
      <w:sz w:val="21"/>
      <w:szCs w:val="24"/>
      <w:lang w:val="en-US" w:eastAsia="zh-CN" w:bidi="ar-SA"/>
    </w:rPr>
  </w:style>
  <w:style w:type="paragraph" w:customStyle="1" w:styleId="112">
    <w:name w:val="不明显强调1"/>
    <w:basedOn w:val="1"/>
    <w:qFormat/>
    <w:uiPriority w:val="72"/>
    <w:pPr>
      <w:widowControl/>
      <w:ind w:firstLine="420" w:firstLineChars="200"/>
      <w:jc w:val="left"/>
    </w:pPr>
    <w:rPr>
      <w:snapToGrid w:val="0"/>
      <w:kern w:val="28"/>
      <w:sz w:val="24"/>
      <w:szCs w:val="20"/>
    </w:rPr>
  </w:style>
  <w:style w:type="paragraph" w:customStyle="1" w:styleId="113">
    <w:name w:val="3"/>
    <w:basedOn w:val="1"/>
    <w:next w:val="13"/>
    <w:qFormat/>
    <w:uiPriority w:val="0"/>
    <w:pPr>
      <w:spacing w:line="360" w:lineRule="auto"/>
      <w:ind w:firstLine="560" w:firstLineChars="200"/>
    </w:pPr>
    <w:rPr>
      <w:rFonts w:ascii="仿宋_GB2312" w:eastAsia="仿宋_GB2312"/>
      <w:sz w:val="28"/>
    </w:rPr>
  </w:style>
  <w:style w:type="paragraph" w:customStyle="1" w:styleId="114">
    <w:name w:val="中等深浅列表 2 - 强调文字颜色 42"/>
    <w:basedOn w:val="1"/>
    <w:qFormat/>
    <w:uiPriority w:val="34"/>
    <w:pPr>
      <w:ind w:firstLine="420" w:firstLineChars="200"/>
    </w:pPr>
  </w:style>
  <w:style w:type="paragraph" w:customStyle="1" w:styleId="115">
    <w:name w:val="Char Char Char Char Char Char Char Char Char Char Char Char 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16">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17">
    <w:name w:val="A1"/>
    <w:basedOn w:val="14"/>
    <w:qFormat/>
    <w:uiPriority w:val="0"/>
    <w:pPr>
      <w:tabs>
        <w:tab w:val="left" w:pos="693"/>
        <w:tab w:val="left" w:pos="960"/>
        <w:tab w:val="clear" w:pos="780"/>
      </w:tabs>
      <w:wordWrap w:val="0"/>
      <w:overflowPunct w:val="0"/>
      <w:spacing w:beforeLines="50" w:afterLines="50" w:line="380" w:lineRule="exact"/>
      <w:ind w:left="0" w:firstLine="0"/>
      <w:outlineLvl w:val="0"/>
    </w:pPr>
    <w:rPr>
      <w:rFonts w:eastAsia="楷体_GB2312"/>
      <w:b/>
      <w:sz w:val="24"/>
    </w:rPr>
  </w:style>
  <w:style w:type="paragraph" w:customStyle="1" w:styleId="118">
    <w:name w:val="彩色底纹 - 强调文字颜色 31"/>
    <w:basedOn w:val="1"/>
    <w:qFormat/>
    <w:uiPriority w:val="34"/>
    <w:pPr>
      <w:ind w:firstLine="420" w:firstLineChars="200"/>
    </w:pPr>
  </w:style>
  <w:style w:type="paragraph" w:customStyle="1" w:styleId="119">
    <w:name w:val="Index Heading 2"/>
    <w:basedOn w:val="22"/>
    <w:qFormat/>
    <w:uiPriority w:val="0"/>
    <w:pPr>
      <w:widowControl/>
      <w:tabs>
        <w:tab w:val="right" w:pos="8280"/>
      </w:tabs>
      <w:spacing w:after="480"/>
      <w:jc w:val="left"/>
    </w:pPr>
    <w:rPr>
      <w:rFonts w:ascii="Times New Roman" w:hAnsi="Times New Roman" w:cs="Times New Roman"/>
      <w:bCs w:val="0"/>
      <w:caps/>
      <w:kern w:val="0"/>
      <w:sz w:val="24"/>
      <w:lang w:val="en-GB" w:eastAsia="en-US"/>
    </w:rPr>
  </w:style>
  <w:style w:type="paragraph" w:customStyle="1" w:styleId="120">
    <w:name w:val="Char Char Char Char Char Char Char Char Char Char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21">
    <w:name w:val="不明显强调3"/>
    <w:basedOn w:val="1"/>
    <w:qFormat/>
    <w:uiPriority w:val="72"/>
    <w:pPr>
      <w:widowControl/>
      <w:ind w:firstLine="420" w:firstLineChars="200"/>
      <w:jc w:val="left"/>
    </w:pPr>
    <w:rPr>
      <w:snapToGrid w:val="0"/>
      <w:kern w:val="28"/>
      <w:sz w:val="24"/>
      <w:szCs w:val="20"/>
    </w:rPr>
  </w:style>
  <w:style w:type="paragraph" w:customStyle="1" w:styleId="122">
    <w:name w:val="A3"/>
    <w:basedOn w:val="1"/>
    <w:qFormat/>
    <w:uiPriority w:val="0"/>
    <w:pPr>
      <w:numPr>
        <w:ilvl w:val="2"/>
        <w:numId w:val="5"/>
      </w:numPr>
      <w:wordWrap w:val="0"/>
      <w:overflowPunct w:val="0"/>
      <w:spacing w:beforeLines="50" w:afterLines="50" w:line="380" w:lineRule="exact"/>
    </w:pPr>
    <w:rPr>
      <w:rFonts w:eastAsia="楷体_GB2312"/>
      <w:sz w:val="24"/>
    </w:rPr>
  </w:style>
  <w:style w:type="paragraph" w:customStyle="1" w:styleId="123">
    <w:name w:val="彩色底纹 - 强调文字颜色 12"/>
    <w:qFormat/>
    <w:uiPriority w:val="71"/>
    <w:rPr>
      <w:rFonts w:ascii="Times New Roman" w:hAnsi="Times New Roman" w:eastAsia="宋体" w:cs="Times New Roman"/>
      <w:kern w:val="2"/>
      <w:sz w:val="21"/>
      <w:szCs w:val="24"/>
      <w:lang w:val="en-US" w:eastAsia="zh-CN" w:bidi="ar-SA"/>
    </w:rPr>
  </w:style>
  <w:style w:type="paragraph" w:customStyle="1" w:styleId="124">
    <w:name w:val="Char Char Char Char 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25">
    <w:name w:val="浅色列表 - 强调文字颜色 31"/>
    <w:semiHidden/>
    <w:qFormat/>
    <w:uiPriority w:val="99"/>
    <w:rPr>
      <w:rFonts w:ascii="Times New Roman" w:hAnsi="Times New Roman" w:eastAsia="宋体" w:cs="Times New Roman"/>
      <w:kern w:val="2"/>
      <w:sz w:val="21"/>
      <w:szCs w:val="24"/>
      <w:lang w:val="en-US" w:eastAsia="zh-CN" w:bidi="ar-SA"/>
    </w:rPr>
  </w:style>
  <w:style w:type="paragraph" w:customStyle="1" w:styleId="126">
    <w:name w:val="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27">
    <w:name w:val="FWB Cont 2"/>
    <w:basedOn w:val="1"/>
    <w:qFormat/>
    <w:uiPriority w:val="0"/>
    <w:pPr>
      <w:widowControl/>
      <w:spacing w:after="240"/>
    </w:pPr>
    <w:rPr>
      <w:kern w:val="0"/>
      <w:sz w:val="24"/>
      <w:szCs w:val="20"/>
      <w:lang w:val="en-GB" w:eastAsia="en-US"/>
    </w:rPr>
  </w:style>
  <w:style w:type="paragraph" w:customStyle="1" w:styleId="128">
    <w:name w:val="中等深浅列表 2 - 强调文字颜色 21"/>
    <w:semiHidden/>
    <w:qFormat/>
    <w:uiPriority w:val="99"/>
    <w:rPr>
      <w:rFonts w:ascii="Times New Roman" w:hAnsi="Times New Roman" w:eastAsia="宋体" w:cs="Times New Roman"/>
      <w:kern w:val="2"/>
      <w:sz w:val="21"/>
      <w:szCs w:val="24"/>
      <w:lang w:val="en-US" w:eastAsia="zh-CN" w:bidi="ar-SA"/>
    </w:rPr>
  </w:style>
  <w:style w:type="paragraph" w:customStyle="1" w:styleId="129">
    <w:name w:val="彩色列表 - 强调文字颜色 13"/>
    <w:basedOn w:val="1"/>
    <w:qFormat/>
    <w:uiPriority w:val="34"/>
    <w:pPr>
      <w:ind w:firstLine="420" w:firstLineChars="200"/>
    </w:pPr>
  </w:style>
  <w:style w:type="paragraph" w:customStyle="1" w:styleId="130">
    <w:name w:val="Char Char Char Char Char Char Char Char Char Char Char Char Char Char1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31">
    <w:name w:val="浅色网格 - 强调文字颜色 31"/>
    <w:basedOn w:val="1"/>
    <w:qFormat/>
    <w:uiPriority w:val="34"/>
    <w:pPr>
      <w:widowControl/>
      <w:ind w:firstLine="420" w:firstLineChars="200"/>
      <w:jc w:val="left"/>
    </w:pPr>
    <w:rPr>
      <w:rFonts w:eastAsia="PMingLiU"/>
      <w:kern w:val="0"/>
      <w:sz w:val="24"/>
      <w:lang w:eastAsia="zh-TW"/>
    </w:rPr>
  </w:style>
  <w:style w:type="paragraph" w:customStyle="1" w:styleId="132">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33">
    <w:name w:val="列出段落1"/>
    <w:basedOn w:val="1"/>
    <w:qFormat/>
    <w:uiPriority w:val="34"/>
    <w:pPr>
      <w:ind w:firstLine="420" w:firstLineChars="200"/>
    </w:pPr>
  </w:style>
  <w:style w:type="paragraph" w:customStyle="1" w:styleId="134">
    <w:name w:val="Normal (Justified)"/>
    <w:basedOn w:val="1"/>
    <w:qFormat/>
    <w:uiPriority w:val="0"/>
    <w:pPr>
      <w:widowControl/>
    </w:pPr>
    <w:rPr>
      <w:kern w:val="28"/>
      <w:sz w:val="24"/>
      <w:szCs w:val="20"/>
    </w:rPr>
  </w:style>
  <w:style w:type="paragraph" w:customStyle="1" w:styleId="135">
    <w:name w:val="A4"/>
    <w:basedOn w:val="1"/>
    <w:qFormat/>
    <w:uiPriority w:val="0"/>
    <w:pPr>
      <w:numPr>
        <w:ilvl w:val="3"/>
        <w:numId w:val="5"/>
      </w:numPr>
      <w:wordWrap w:val="0"/>
      <w:overflowPunct w:val="0"/>
      <w:spacing w:beforeLines="50" w:afterLines="50" w:line="380" w:lineRule="exact"/>
    </w:pPr>
    <w:rPr>
      <w:rFonts w:eastAsia="楷体_GB2312"/>
      <w:sz w:val="24"/>
    </w:rPr>
  </w:style>
  <w:style w:type="paragraph" w:customStyle="1" w:styleId="136">
    <w:name w:val="彩色底纹 - 强调文字颜色 32"/>
    <w:basedOn w:val="1"/>
    <w:qFormat/>
    <w:uiPriority w:val="34"/>
    <w:pPr>
      <w:ind w:firstLine="420" w:firstLineChars="200"/>
    </w:pPr>
  </w:style>
  <w:style w:type="paragraph" w:customStyle="1" w:styleId="137">
    <w:name w:val="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3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9">
    <w:name w:val="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40">
    <w:name w:val="中等深浅列表 2 - 强调文字颜色 41"/>
    <w:basedOn w:val="1"/>
    <w:qFormat/>
    <w:uiPriority w:val="34"/>
    <w:pPr>
      <w:ind w:firstLine="420" w:firstLineChars="200"/>
    </w:pPr>
  </w:style>
  <w:style w:type="paragraph" w:customStyle="1" w:styleId="141">
    <w:name w:val="中等深浅列表 1 - 强调文字颜色 41"/>
    <w:qFormat/>
    <w:uiPriority w:val="71"/>
    <w:rPr>
      <w:rFonts w:ascii="Times New Roman" w:hAnsi="Times New Roman" w:eastAsia="宋体" w:cs="Times New Roman"/>
      <w:kern w:val="2"/>
      <w:sz w:val="21"/>
      <w:szCs w:val="24"/>
      <w:lang w:val="en-US" w:eastAsia="zh-CN" w:bidi="ar-SA"/>
    </w:rPr>
  </w:style>
  <w:style w:type="paragraph" w:customStyle="1" w:styleId="142">
    <w:name w:val="中等深浅网格 1 - 强调文字颜色 21"/>
    <w:basedOn w:val="1"/>
    <w:qFormat/>
    <w:uiPriority w:val="0"/>
    <w:pPr>
      <w:widowControl/>
      <w:ind w:firstLine="420" w:firstLineChars="200"/>
      <w:jc w:val="left"/>
    </w:pPr>
    <w:rPr>
      <w:rFonts w:eastAsia="PMingLiU"/>
      <w:kern w:val="0"/>
      <w:sz w:val="24"/>
      <w:lang w:eastAsia="zh-TW"/>
    </w:rPr>
  </w:style>
  <w:style w:type="paragraph" w:customStyle="1" w:styleId="143">
    <w:name w:val="FWParties"/>
    <w:basedOn w:val="12"/>
    <w:qFormat/>
    <w:uiPriority w:val="0"/>
    <w:pPr>
      <w:widowControl/>
      <w:tabs>
        <w:tab w:val="left" w:pos="425"/>
      </w:tabs>
      <w:spacing w:after="240"/>
      <w:ind w:left="425" w:hanging="425"/>
    </w:pPr>
    <w:rPr>
      <w:bCs/>
      <w:kern w:val="0"/>
      <w:sz w:val="24"/>
      <w:lang w:val="en-GB" w:eastAsia="en-US"/>
    </w:rPr>
  </w:style>
  <w:style w:type="paragraph" w:styleId="144">
    <w:name w:val="List Paragraph"/>
    <w:basedOn w:val="1"/>
    <w:qFormat/>
    <w:uiPriority w:val="99"/>
    <w:pPr>
      <w:ind w:firstLine="420" w:firstLineChars="200"/>
    </w:pPr>
  </w:style>
  <w:style w:type="character" w:customStyle="1" w:styleId="145">
    <w:name w:val="未处理的提及2"/>
    <w:basedOn w:val="30"/>
    <w:semiHidden/>
    <w:unhideWhenUsed/>
    <w:qFormat/>
    <w:uiPriority w:val="99"/>
    <w:rPr>
      <w:color w:val="605E5C"/>
      <w:shd w:val="clear" w:color="auto" w:fill="E1DFDD"/>
    </w:rPr>
  </w:style>
  <w:style w:type="paragraph" w:customStyle="1" w:styleId="146">
    <w:name w:val="浅色列表 - 强调文字颜色 51"/>
    <w:basedOn w:val="1"/>
    <w:qFormat/>
    <w:uiPriority w:val="34"/>
    <w:pPr>
      <w:ind w:firstLine="420" w:firstLineChars="200"/>
    </w:pPr>
  </w:style>
  <w:style w:type="paragraph" w:customStyle="1" w:styleId="147">
    <w:name w:val="中等深浅列表 2 - 着色 41"/>
    <w:basedOn w:val="1"/>
    <w:qFormat/>
    <w:uiPriority w:val="34"/>
    <w:pPr>
      <w:widowControl/>
      <w:snapToGrid w:val="0"/>
      <w:ind w:firstLine="420" w:firstLineChars="200"/>
      <w:jc w:val="left"/>
    </w:pPr>
    <w:rPr>
      <w:kern w:val="28"/>
      <w:sz w:val="24"/>
      <w:szCs w:val="20"/>
    </w:rPr>
  </w:style>
  <w:style w:type="character" w:styleId="148">
    <w:name w:val="Placeholder Text"/>
    <w:basedOn w:val="30"/>
    <w:unhideWhenUsed/>
    <w:qFormat/>
    <w:uiPriority w:val="99"/>
    <w:rPr>
      <w:color w:val="808080"/>
    </w:rPr>
  </w:style>
  <w:style w:type="character" w:customStyle="1" w:styleId="149">
    <w:name w:val="navtiao"/>
    <w:basedOn w:val="30"/>
    <w:qFormat/>
    <w:uiPriority w:val="0"/>
  </w:style>
  <w:style w:type="character" w:customStyle="1" w:styleId="150">
    <w:name w:val="批注文字 字符3"/>
    <w:qFormat/>
    <w:uiPriority w:val="99"/>
    <w:rPr>
      <w:kern w:val="2"/>
      <w:sz w:val="21"/>
      <w:szCs w:val="24"/>
    </w:rPr>
  </w:style>
  <w:style w:type="paragraph" w:customStyle="1" w:styleId="151">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152">
    <w:name w:val="脚注文本 字符"/>
    <w:basedOn w:val="30"/>
    <w:link w:val="24"/>
    <w:semiHidden/>
    <w:qFormat/>
    <w:uiPriority w:val="0"/>
    <w:rPr>
      <w:kern w:val="2"/>
      <w:sz w:val="18"/>
      <w:szCs w:val="18"/>
    </w:rPr>
  </w:style>
  <w:style w:type="paragraph" w:customStyle="1" w:styleId="153">
    <w:name w:val="样式1"/>
    <w:basedOn w:val="1"/>
    <w:qFormat/>
    <w:uiPriority w:val="0"/>
    <w:pPr>
      <w:tabs>
        <w:tab w:val="left" w:pos="425"/>
        <w:tab w:val="left" w:pos="862"/>
        <w:tab w:val="left" w:pos="1288"/>
      </w:tabs>
      <w:spacing w:beforeLines="50" w:afterLines="50" w:line="360" w:lineRule="auto"/>
      <w:ind w:left="1288" w:hanging="720"/>
    </w:pPr>
    <w:rPr>
      <w:rFonts w:eastAsia="楷体_GB2312"/>
      <w:bCs/>
      <w:sz w:val="24"/>
    </w:rPr>
  </w:style>
  <w:style w:type="paragraph" w:customStyle="1" w:styleId="15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155">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15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4D45667-C019-49E0-B138-35D86CECEA4E}">
  <ds:schemaRefs/>
</ds:datastoreItem>
</file>

<file path=docProps/app.xml><?xml version="1.0" encoding="utf-8"?>
<Properties xmlns="http://schemas.openxmlformats.org/officeDocument/2006/extended-properties" xmlns:vt="http://schemas.openxmlformats.org/officeDocument/2006/docPropsVTypes">
  <Template>Normal</Template>
  <Pages>114</Pages>
  <Words>36161</Words>
  <Characters>36683</Characters>
  <Lines>552</Lines>
  <Paragraphs>155</Paragraphs>
  <TotalTime>365</TotalTime>
  <ScaleCrop>false</ScaleCrop>
  <LinksUpToDate>false</LinksUpToDate>
  <CharactersWithSpaces>36775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2026-02-13T19:14:00Z</dcterms:created>
  <dc:creator>zhonglun</dc:creator>
  <cp:lastModifiedBy>赵澍</cp:lastModifiedBy>
  <cp:lastPrinted>2026-01-24T06:15:00Z</cp:lastPrinted>
  <dcterms:modified xsi:type="dcterms:W3CDTF">2026-05-06T05:37:00Z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4924D13FE2294EE2B16695DDB8FDBFAD_13</vt:lpwstr>
  </property>
</Properties>
</file>